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F50237">
      <w:pPr>
        <w:pStyle w:val="7"/>
        <w:adjustRightInd w:val="0"/>
        <w:snapToGrid w:val="0"/>
        <w:spacing w:before="0" w:beforeAutospacing="0" w:after="0" w:afterAutospacing="0" w:line="360" w:lineRule="auto"/>
        <w:jc w:val="center"/>
        <w:rPr>
          <w:rStyle w:val="10"/>
          <w:rFonts w:hint="eastAsia" w:ascii="微软雅黑" w:hAnsi="微软雅黑" w:eastAsia="微软雅黑" w:cs="微软雅黑"/>
          <w:bCs/>
          <w:color w:val="auto"/>
          <w:sz w:val="28"/>
          <w:szCs w:val="28"/>
          <w:highlight w:val="none"/>
        </w:rPr>
      </w:pPr>
      <w:r>
        <w:rPr>
          <w:rStyle w:val="10"/>
          <w:rFonts w:hint="eastAsia" w:ascii="微软雅黑" w:hAnsi="微软雅黑" w:eastAsia="微软雅黑" w:cs="微软雅黑"/>
          <w:bCs/>
          <w:color w:val="auto"/>
          <w:sz w:val="32"/>
          <w:szCs w:val="32"/>
          <w:highlight w:val="none"/>
        </w:rPr>
        <w:t>上海市农业科技创新项目及资金管理细则</w:t>
      </w:r>
    </w:p>
    <w:p w14:paraId="1A1A800A">
      <w:pPr>
        <w:pStyle w:val="7"/>
        <w:adjustRightInd w:val="0"/>
        <w:snapToGrid w:val="0"/>
        <w:spacing w:before="0" w:beforeAutospacing="0" w:after="0" w:afterAutospacing="0" w:line="360" w:lineRule="auto"/>
        <w:ind w:firstLine="561" w:firstLineChars="200"/>
        <w:rPr>
          <w:rFonts w:ascii="微软雅黑" w:hAnsi="微软雅黑" w:eastAsia="微软雅黑" w:cs="微软雅黑"/>
          <w:color w:val="auto"/>
          <w:sz w:val="28"/>
          <w:szCs w:val="28"/>
          <w:highlight w:val="none"/>
        </w:rPr>
      </w:pPr>
      <w:r>
        <w:rPr>
          <w:rStyle w:val="10"/>
          <w:rFonts w:hint="eastAsia" w:ascii="微软雅黑" w:hAnsi="微软雅黑" w:eastAsia="微软雅黑" w:cs="微软雅黑"/>
          <w:bCs/>
          <w:color w:val="auto"/>
          <w:sz w:val="28"/>
          <w:szCs w:val="28"/>
          <w:highlight w:val="none"/>
        </w:rPr>
        <w:t>第一章  总则</w:t>
      </w:r>
    </w:p>
    <w:p w14:paraId="03E0A576">
      <w:pPr>
        <w:pStyle w:val="7"/>
        <w:adjustRightInd w:val="0"/>
        <w:snapToGrid w:val="0"/>
        <w:spacing w:before="0" w:beforeAutospacing="0" w:after="0" w:afterAutospacing="0" w:line="360" w:lineRule="auto"/>
        <w:ind w:firstLine="561" w:firstLineChars="200"/>
        <w:rPr>
          <w:rFonts w:hint="eastAsia" w:ascii="微软雅黑" w:hAnsi="微软雅黑" w:eastAsia="微软雅黑" w:cs="微软雅黑"/>
          <w:color w:val="auto"/>
          <w:sz w:val="28"/>
          <w:szCs w:val="28"/>
          <w:highlight w:val="none"/>
        </w:rPr>
      </w:pPr>
      <w:r>
        <w:rPr>
          <w:rStyle w:val="10"/>
          <w:rFonts w:hint="eastAsia" w:ascii="微软雅黑" w:hAnsi="微软雅黑" w:eastAsia="微软雅黑" w:cs="微软雅黑"/>
          <w:bCs/>
          <w:color w:val="auto"/>
          <w:sz w:val="28"/>
          <w:szCs w:val="28"/>
          <w:highlight w:val="none"/>
        </w:rPr>
        <w:t>第一条</w:t>
      </w:r>
      <w:r>
        <w:rPr>
          <w:rFonts w:hint="eastAsia" w:ascii="微软雅黑" w:hAnsi="微软雅黑" w:eastAsia="微软雅黑" w:cs="微软雅黑"/>
          <w:color w:val="auto"/>
          <w:sz w:val="28"/>
          <w:szCs w:val="28"/>
          <w:highlight w:val="none"/>
        </w:rPr>
        <w:t>  为进一步规范并加强上海市农业科技创新项目及资金管理，提高资金使用效率，根据《上海市人民政府办公厅关于加快推进本市农业科技创新的实施意见》（沪府办发〔2024〕9号）</w:t>
      </w:r>
      <w:r>
        <w:rPr>
          <w:rFonts w:hint="eastAsia" w:ascii="微软雅黑" w:hAnsi="微软雅黑" w:eastAsia="微软雅黑" w:cs="微软雅黑"/>
          <w:color w:val="auto"/>
          <w:sz w:val="28"/>
          <w:szCs w:val="28"/>
          <w:highlight w:val="none"/>
          <w:lang w:val="en-US" w:eastAsia="zh-CN"/>
        </w:rPr>
        <w:t>《上海市财政科研项目专项经费管理办法》（沪财发〔2023〕4号）</w:t>
      </w:r>
      <w:r>
        <w:rPr>
          <w:rFonts w:hint="eastAsia" w:ascii="微软雅黑" w:hAnsi="微软雅黑" w:eastAsia="微软雅黑" w:cs="微软雅黑"/>
          <w:color w:val="auto"/>
          <w:sz w:val="28"/>
          <w:szCs w:val="28"/>
          <w:highlight w:val="none"/>
        </w:rPr>
        <w:t>《上海市乡村振兴专项资金管理办法》（ 沪农委规〔2022〕5 号）等文件精神，依据国家和本市有关科技项目及资金管理规定及相关财务制度，结合本市农业科技发展实际情况，制定本细则。</w:t>
      </w:r>
    </w:p>
    <w:p w14:paraId="37402E9C">
      <w:pPr>
        <w:pStyle w:val="7"/>
        <w:adjustRightInd w:val="0"/>
        <w:snapToGrid w:val="0"/>
        <w:spacing w:before="0" w:beforeAutospacing="0" w:after="0" w:afterAutospacing="0" w:line="360" w:lineRule="auto"/>
        <w:ind w:firstLine="561" w:firstLineChars="200"/>
        <w:rPr>
          <w:rFonts w:hint="eastAsia" w:ascii="微软雅黑" w:hAnsi="微软雅黑" w:eastAsia="微软雅黑" w:cs="微软雅黑"/>
          <w:color w:val="auto"/>
          <w:sz w:val="28"/>
          <w:szCs w:val="28"/>
          <w:highlight w:val="none"/>
        </w:rPr>
      </w:pPr>
      <w:r>
        <w:rPr>
          <w:rStyle w:val="10"/>
          <w:rFonts w:hint="eastAsia" w:ascii="微软雅黑" w:hAnsi="微软雅黑" w:eastAsia="微软雅黑" w:cs="微软雅黑"/>
          <w:bCs/>
          <w:color w:val="auto"/>
          <w:sz w:val="28"/>
          <w:szCs w:val="28"/>
          <w:highlight w:val="none"/>
        </w:rPr>
        <w:t>第二条</w:t>
      </w:r>
      <w:r>
        <w:rPr>
          <w:rFonts w:hint="eastAsia" w:ascii="微软雅黑" w:hAnsi="微软雅黑" w:eastAsia="微软雅黑" w:cs="微软雅黑"/>
          <w:color w:val="auto"/>
          <w:sz w:val="28"/>
          <w:szCs w:val="28"/>
          <w:highlight w:val="none"/>
        </w:rPr>
        <w:t>  上海市农业科技创新项目主要支持在本市注册登记的法人或非法人组织开展农业科学研究及技术开发、技术推广、成果转化、人才培育等科技活动。</w:t>
      </w:r>
    </w:p>
    <w:p w14:paraId="08A8FD09">
      <w:pPr>
        <w:pStyle w:val="7"/>
        <w:adjustRightInd w:val="0"/>
        <w:snapToGrid w:val="0"/>
        <w:spacing w:before="0" w:beforeAutospacing="0" w:after="0" w:afterAutospacing="0" w:line="360" w:lineRule="auto"/>
        <w:ind w:firstLine="561" w:firstLineChars="200"/>
        <w:rPr>
          <w:rFonts w:hint="eastAsia" w:ascii="微软雅黑" w:hAnsi="微软雅黑" w:eastAsia="微软雅黑" w:cs="微软雅黑"/>
          <w:color w:val="auto"/>
          <w:sz w:val="28"/>
          <w:szCs w:val="28"/>
          <w:highlight w:val="none"/>
        </w:rPr>
      </w:pPr>
      <w:r>
        <w:rPr>
          <w:rStyle w:val="10"/>
          <w:rFonts w:hint="eastAsia" w:ascii="微软雅黑" w:hAnsi="微软雅黑" w:eastAsia="微软雅黑" w:cs="微软雅黑"/>
          <w:bCs/>
          <w:color w:val="auto"/>
          <w:sz w:val="28"/>
          <w:szCs w:val="28"/>
          <w:highlight w:val="none"/>
        </w:rPr>
        <w:t>第三条</w:t>
      </w:r>
      <w:r>
        <w:rPr>
          <w:rFonts w:hint="eastAsia" w:ascii="微软雅黑" w:hAnsi="微软雅黑" w:eastAsia="微软雅黑" w:cs="微软雅黑"/>
          <w:color w:val="auto"/>
          <w:sz w:val="28"/>
          <w:szCs w:val="28"/>
          <w:highlight w:val="none"/>
        </w:rPr>
        <w:t>  农业科技创新项目安排和资金支持原则　</w:t>
      </w:r>
    </w:p>
    <w:p w14:paraId="1D01EB7A">
      <w:pPr>
        <w:pStyle w:val="7"/>
        <w:adjustRightInd w:val="0"/>
        <w:snapToGrid w:val="0"/>
        <w:spacing w:before="0" w:beforeAutospacing="0" w:after="0" w:afterAutospacing="0" w:line="360" w:lineRule="auto"/>
        <w:ind w:firstLine="560" w:firstLineChars="200"/>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围绕国家战略和上海都市现代绿色农业发展定位，注重实效性和前瞻性，</w:t>
      </w:r>
      <w:r>
        <w:rPr>
          <w:rFonts w:hint="eastAsia" w:ascii="微软雅黑" w:hAnsi="微软雅黑" w:eastAsia="微软雅黑" w:cs="微软雅黑"/>
          <w:color w:val="auto"/>
          <w:sz w:val="28"/>
          <w:szCs w:val="28"/>
          <w:highlight w:val="none"/>
          <w:lang w:val="en-US" w:eastAsia="zh-CN"/>
        </w:rPr>
        <w:t>坚持</w:t>
      </w:r>
      <w:r>
        <w:rPr>
          <w:rFonts w:hint="eastAsia" w:ascii="微软雅黑" w:hAnsi="微软雅黑" w:eastAsia="微软雅黑" w:cs="微软雅黑"/>
          <w:color w:val="auto"/>
          <w:sz w:val="28"/>
          <w:szCs w:val="28"/>
          <w:highlight w:val="none"/>
        </w:rPr>
        <w:t>统筹协调、科学规划、全链布局、重点突出。完善公平竞争的项目遴选机制，通过公开择优、定向择优等方式确定承担主体。遵循科研活动规律，坚持绩效导向，加强评估监管和科研诚信建设，推行面向结果的追踪问效机制。重点支持特色种源、生物制造、</w:t>
      </w:r>
      <w:r>
        <w:rPr>
          <w:rFonts w:hint="eastAsia" w:ascii="微软雅黑" w:hAnsi="微软雅黑" w:eastAsia="微软雅黑" w:cs="微软雅黑"/>
          <w:color w:val="auto"/>
          <w:sz w:val="28"/>
          <w:szCs w:val="28"/>
          <w:highlight w:val="none"/>
          <w:lang w:val="en-US" w:eastAsia="zh-CN"/>
        </w:rPr>
        <w:t>现代</w:t>
      </w:r>
      <w:r>
        <w:rPr>
          <w:rFonts w:hint="eastAsia" w:ascii="微软雅黑" w:hAnsi="微软雅黑" w:eastAsia="微软雅黑" w:cs="微软雅黑"/>
          <w:color w:val="auto"/>
          <w:sz w:val="28"/>
          <w:szCs w:val="28"/>
          <w:highlight w:val="none"/>
        </w:rPr>
        <w:t>设施农业等新赛道农业科技创新，支持“张江种谷”“上海农业科创谷”“长三角农业硅谷”（以下简称“三谷”）打造农业科技创新创业高地。</w:t>
      </w:r>
    </w:p>
    <w:p w14:paraId="2E20CAAA">
      <w:pPr>
        <w:pStyle w:val="7"/>
        <w:adjustRightInd w:val="0"/>
        <w:snapToGrid w:val="0"/>
        <w:spacing w:before="0" w:beforeAutospacing="0" w:after="0" w:afterAutospacing="0" w:line="360" w:lineRule="auto"/>
        <w:ind w:firstLine="560" w:firstLineChars="200"/>
        <w:rPr>
          <w:rFonts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坚持确保项目资金安全和激发科技创新活力并重，专项经费实行专款专用、单独核算、放权松绑、依规调整。</w:t>
      </w:r>
    </w:p>
    <w:p w14:paraId="1CEA6024">
      <w:pPr>
        <w:pStyle w:val="7"/>
        <w:adjustRightInd w:val="0"/>
        <w:snapToGrid w:val="0"/>
        <w:spacing w:before="0" w:beforeAutospacing="0" w:after="0" w:afterAutospacing="0" w:line="360" w:lineRule="auto"/>
        <w:ind w:firstLine="561" w:firstLineChars="200"/>
        <w:rPr>
          <w:rFonts w:hint="eastAsia" w:ascii="微软雅黑" w:hAnsi="微软雅黑" w:eastAsia="微软雅黑" w:cs="微软雅黑"/>
          <w:color w:val="auto"/>
          <w:sz w:val="28"/>
          <w:szCs w:val="28"/>
          <w:highlight w:val="none"/>
        </w:rPr>
      </w:pPr>
      <w:r>
        <w:rPr>
          <w:rStyle w:val="10"/>
          <w:rFonts w:hint="eastAsia" w:ascii="微软雅黑" w:hAnsi="微软雅黑" w:eastAsia="微软雅黑" w:cs="微软雅黑"/>
          <w:bCs/>
          <w:color w:val="auto"/>
          <w:sz w:val="28"/>
          <w:szCs w:val="28"/>
          <w:highlight w:val="none"/>
        </w:rPr>
        <w:t>第四条</w:t>
      </w:r>
      <w:r>
        <w:rPr>
          <w:rFonts w:hint="eastAsia" w:ascii="微软雅黑" w:hAnsi="微软雅黑" w:eastAsia="微软雅黑" w:cs="微软雅黑"/>
          <w:color w:val="auto"/>
          <w:sz w:val="28"/>
          <w:szCs w:val="28"/>
          <w:highlight w:val="none"/>
        </w:rPr>
        <w:t>  农业科技创新项目分为技术攻关、应用场景、产业提升、联合育种攻关、科技人才培育等项目类别。对于公益性、长期性研究，以及重大共性关键技术研究、开发、集成、示范等科技活动，可根据情况采用“揭榜挂帅”“赛马制”等项目组织方式</w:t>
      </w:r>
      <w:r>
        <w:rPr>
          <w:rFonts w:hint="eastAsia" w:ascii="微软雅黑" w:hAnsi="微软雅黑" w:eastAsia="微软雅黑" w:cs="微软雅黑"/>
          <w:color w:val="auto"/>
          <w:sz w:val="28"/>
          <w:szCs w:val="28"/>
          <w:highlight w:val="none"/>
          <w:lang w:eastAsia="zh-CN"/>
        </w:rPr>
        <w:t>。</w:t>
      </w:r>
      <w:r>
        <w:rPr>
          <w:rFonts w:hint="eastAsia" w:ascii="微软雅黑" w:hAnsi="微软雅黑" w:eastAsia="微软雅黑" w:cs="微软雅黑"/>
          <w:color w:val="auto"/>
          <w:sz w:val="28"/>
          <w:szCs w:val="28"/>
          <w:highlight w:val="none"/>
        </w:rPr>
        <w:t>具体组织方式，由市农业农村委结合科研活动特点和承担单位性质在编制和发布项目指南时明确。</w:t>
      </w:r>
    </w:p>
    <w:p w14:paraId="35FE7095">
      <w:pPr>
        <w:pStyle w:val="7"/>
        <w:adjustRightInd w:val="0"/>
        <w:snapToGrid w:val="0"/>
        <w:spacing w:before="0" w:beforeAutospacing="0" w:after="0" w:afterAutospacing="0" w:line="360" w:lineRule="auto"/>
        <w:ind w:firstLine="560" w:firstLineChars="200"/>
        <w:rPr>
          <w:rFonts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技术攻关项目：围绕国家战略需求和本市农业产业技术瓶颈，聚焦重点领域、重点区域、重点产业开展农业关键核心技术和重要创新技术的研发，培育具有重大应用价值和自主知识产权的科技成果，引领和支撑都市现代绿色农业可持续发展。关键核心技术攻关项目原则上</w:t>
      </w:r>
      <w:r>
        <w:rPr>
          <w:rFonts w:hint="eastAsia" w:ascii="微软雅黑" w:hAnsi="微软雅黑" w:eastAsia="微软雅黑" w:cs="微软雅黑"/>
          <w:color w:val="auto"/>
          <w:sz w:val="28"/>
          <w:szCs w:val="28"/>
          <w:highlight w:val="none"/>
          <w:lang w:eastAsia="zh-CN"/>
        </w:rPr>
        <w:t>实施周期</w:t>
      </w:r>
      <w:r>
        <w:rPr>
          <w:rFonts w:hint="eastAsia" w:ascii="微软雅黑" w:hAnsi="微软雅黑" w:eastAsia="微软雅黑" w:cs="微软雅黑"/>
          <w:color w:val="auto"/>
          <w:sz w:val="28"/>
          <w:szCs w:val="28"/>
          <w:highlight w:val="none"/>
          <w:lang w:val="en-US" w:eastAsia="zh-CN"/>
        </w:rPr>
        <w:t>3至5年，</w:t>
      </w:r>
      <w:r>
        <w:rPr>
          <w:rFonts w:hint="eastAsia" w:ascii="微软雅黑" w:hAnsi="微软雅黑" w:eastAsia="微软雅黑" w:cs="微软雅黑"/>
          <w:color w:val="auto"/>
          <w:sz w:val="28"/>
          <w:szCs w:val="28"/>
          <w:highlight w:val="none"/>
        </w:rPr>
        <w:t>财政支持资金不超过400万元</w:t>
      </w:r>
      <w:r>
        <w:rPr>
          <w:rFonts w:hint="eastAsia" w:ascii="微软雅黑" w:hAnsi="微软雅黑" w:eastAsia="微软雅黑" w:cs="微软雅黑"/>
          <w:color w:val="auto"/>
          <w:sz w:val="28"/>
          <w:szCs w:val="28"/>
          <w:highlight w:val="none"/>
          <w:lang w:eastAsia="zh-CN"/>
        </w:rPr>
        <w:t>；</w:t>
      </w:r>
      <w:r>
        <w:rPr>
          <w:rFonts w:hint="eastAsia" w:ascii="微软雅黑" w:hAnsi="微软雅黑" w:eastAsia="微软雅黑" w:cs="微软雅黑"/>
          <w:color w:val="auto"/>
          <w:sz w:val="28"/>
          <w:szCs w:val="28"/>
          <w:highlight w:val="none"/>
        </w:rPr>
        <w:t>重要创新技术攻关项目原则上</w:t>
      </w:r>
      <w:r>
        <w:rPr>
          <w:rFonts w:hint="eastAsia" w:ascii="微软雅黑" w:hAnsi="微软雅黑" w:eastAsia="微软雅黑" w:cs="微软雅黑"/>
          <w:color w:val="auto"/>
          <w:sz w:val="28"/>
          <w:szCs w:val="28"/>
          <w:highlight w:val="none"/>
          <w:lang w:eastAsia="zh-CN"/>
        </w:rPr>
        <w:t>实施周期</w:t>
      </w:r>
      <w:r>
        <w:rPr>
          <w:rFonts w:hint="eastAsia" w:ascii="微软雅黑" w:hAnsi="微软雅黑" w:eastAsia="微软雅黑" w:cs="微软雅黑"/>
          <w:color w:val="auto"/>
          <w:sz w:val="28"/>
          <w:szCs w:val="28"/>
          <w:highlight w:val="none"/>
          <w:lang w:val="en-US" w:eastAsia="zh-CN"/>
        </w:rPr>
        <w:t>2至3年，</w:t>
      </w:r>
      <w:r>
        <w:rPr>
          <w:rFonts w:hint="eastAsia" w:ascii="微软雅黑" w:hAnsi="微软雅黑" w:eastAsia="微软雅黑" w:cs="微软雅黑"/>
          <w:color w:val="auto"/>
          <w:sz w:val="28"/>
          <w:szCs w:val="28"/>
          <w:highlight w:val="none"/>
        </w:rPr>
        <w:t>财政支持资金不超过200万元，涉及研发周期</w:t>
      </w:r>
      <w:r>
        <w:rPr>
          <w:rFonts w:hint="eastAsia" w:ascii="微软雅黑" w:hAnsi="微软雅黑" w:eastAsia="微软雅黑" w:cs="微软雅黑"/>
          <w:color w:val="auto"/>
          <w:sz w:val="28"/>
          <w:szCs w:val="28"/>
          <w:highlight w:val="none"/>
          <w:lang w:val="en-US" w:eastAsia="zh-CN"/>
        </w:rPr>
        <w:t>3</w:t>
      </w:r>
      <w:r>
        <w:rPr>
          <w:rFonts w:hint="eastAsia" w:ascii="微软雅黑" w:hAnsi="微软雅黑" w:eastAsia="微软雅黑" w:cs="微软雅黑"/>
          <w:color w:val="auto"/>
          <w:sz w:val="28"/>
          <w:szCs w:val="28"/>
          <w:highlight w:val="none"/>
        </w:rPr>
        <w:t>年以上的项目，可适当放宽到300万元。</w:t>
      </w:r>
    </w:p>
    <w:p w14:paraId="51263C59">
      <w:pPr>
        <w:tabs>
          <w:tab w:val="left" w:pos="4253"/>
        </w:tabs>
        <w:adjustRightInd w:val="0"/>
        <w:snapToGrid w:val="0"/>
        <w:spacing w:line="360" w:lineRule="auto"/>
        <w:ind w:firstLine="560" w:firstLineChars="200"/>
        <w:outlineLvl w:val="4"/>
        <w:rPr>
          <w:rFonts w:ascii="微软雅黑" w:hAnsi="微软雅黑" w:eastAsia="微软雅黑" w:cs="微软雅黑"/>
          <w:color w:val="auto"/>
          <w:kern w:val="0"/>
          <w:sz w:val="28"/>
          <w:szCs w:val="28"/>
          <w:highlight w:val="none"/>
          <w:lang w:bidi="ar"/>
        </w:rPr>
      </w:pPr>
      <w:r>
        <w:rPr>
          <w:rFonts w:hint="eastAsia" w:ascii="微软雅黑" w:hAnsi="微软雅黑" w:eastAsia="微软雅黑" w:cs="微软雅黑"/>
          <w:color w:val="auto"/>
          <w:kern w:val="0"/>
          <w:sz w:val="28"/>
          <w:szCs w:val="28"/>
          <w:highlight w:val="none"/>
          <w:lang w:bidi="ar"/>
        </w:rPr>
        <w:t>应用场景项目：以构建全链条、全过程的农业科技应用生态为目标，聚焦种植、养殖、储运、加工关键环节，推动跨专业、跨行业、跨领域产品、技术和服务在本市农业生产场景开展试验、验证与优化，在本市建设技术创新度高、集成性强、行业带动性好、示范效果优的农业科技应用场景。应用场景项目原则上</w:t>
      </w:r>
      <w:r>
        <w:rPr>
          <w:rFonts w:hint="eastAsia" w:ascii="微软雅黑" w:hAnsi="微软雅黑" w:eastAsia="微软雅黑" w:cs="微软雅黑"/>
          <w:color w:val="auto"/>
          <w:sz w:val="28"/>
          <w:szCs w:val="28"/>
          <w:highlight w:val="none"/>
          <w:lang w:eastAsia="zh-CN"/>
        </w:rPr>
        <w:t>实施周期</w:t>
      </w:r>
      <w:r>
        <w:rPr>
          <w:rFonts w:hint="eastAsia" w:ascii="微软雅黑" w:hAnsi="微软雅黑" w:eastAsia="微软雅黑" w:cs="微软雅黑"/>
          <w:color w:val="auto"/>
          <w:sz w:val="28"/>
          <w:szCs w:val="28"/>
          <w:highlight w:val="none"/>
          <w:lang w:val="en-US" w:eastAsia="zh-CN"/>
        </w:rPr>
        <w:t>2至3年，</w:t>
      </w:r>
      <w:r>
        <w:rPr>
          <w:rFonts w:hint="eastAsia" w:ascii="微软雅黑" w:hAnsi="微软雅黑" w:eastAsia="微软雅黑" w:cs="微软雅黑"/>
          <w:color w:val="auto"/>
          <w:sz w:val="28"/>
          <w:szCs w:val="28"/>
          <w:highlight w:val="none"/>
        </w:rPr>
        <w:t>财政支持资金</w:t>
      </w:r>
      <w:r>
        <w:rPr>
          <w:rFonts w:hint="eastAsia" w:ascii="微软雅黑" w:hAnsi="微软雅黑" w:eastAsia="微软雅黑" w:cs="微软雅黑"/>
          <w:color w:val="auto"/>
          <w:kern w:val="0"/>
          <w:sz w:val="28"/>
          <w:szCs w:val="28"/>
          <w:highlight w:val="none"/>
          <w:lang w:bidi="ar"/>
        </w:rPr>
        <w:t>不超过300万元。</w:t>
      </w:r>
    </w:p>
    <w:p w14:paraId="7D3DB14D">
      <w:pPr>
        <w:pStyle w:val="7"/>
        <w:adjustRightInd w:val="0"/>
        <w:snapToGrid w:val="0"/>
        <w:spacing w:before="0" w:beforeAutospacing="0" w:after="0" w:afterAutospacing="0" w:line="360" w:lineRule="auto"/>
        <w:ind w:firstLine="560" w:firstLineChars="200"/>
        <w:rPr>
          <w:rFonts w:hint="eastAsia" w:ascii="微软雅黑" w:hAnsi="微软雅黑" w:eastAsia="微软雅黑" w:cs="微软雅黑"/>
          <w:color w:val="auto"/>
          <w:sz w:val="28"/>
          <w:szCs w:val="28"/>
          <w:highlight w:val="none"/>
          <w:lang w:bidi="ar"/>
        </w:rPr>
      </w:pPr>
      <w:r>
        <w:rPr>
          <w:rFonts w:hint="eastAsia" w:ascii="微软雅黑" w:hAnsi="微软雅黑" w:eastAsia="微软雅黑" w:cs="微软雅黑"/>
          <w:color w:val="auto"/>
          <w:sz w:val="28"/>
          <w:szCs w:val="28"/>
          <w:highlight w:val="none"/>
        </w:rPr>
        <w:t>产业提升项目：在本市推广具有先进性、实用性的农业新品种、新技术、新装备</w:t>
      </w:r>
      <w:r>
        <w:rPr>
          <w:rFonts w:hint="eastAsia" w:ascii="微软雅黑" w:hAnsi="微软雅黑" w:eastAsia="微软雅黑" w:cs="微软雅黑"/>
          <w:color w:val="auto"/>
          <w:sz w:val="28"/>
          <w:szCs w:val="28"/>
          <w:highlight w:val="none"/>
          <w:lang w:eastAsia="zh-CN"/>
        </w:rPr>
        <w:t>、</w:t>
      </w:r>
      <w:r>
        <w:rPr>
          <w:rFonts w:hint="eastAsia" w:ascii="微软雅黑" w:hAnsi="微软雅黑" w:eastAsia="微软雅黑" w:cs="微软雅黑"/>
          <w:color w:val="auto"/>
          <w:sz w:val="28"/>
          <w:szCs w:val="28"/>
          <w:highlight w:val="none"/>
          <w:lang w:val="en-US" w:eastAsia="zh-CN"/>
        </w:rPr>
        <w:t>新材料和</w:t>
      </w:r>
      <w:r>
        <w:rPr>
          <w:rFonts w:hint="eastAsia" w:ascii="微软雅黑" w:hAnsi="微软雅黑" w:eastAsia="微软雅黑" w:cs="微软雅黑"/>
          <w:color w:val="auto"/>
          <w:sz w:val="28"/>
          <w:szCs w:val="28"/>
          <w:highlight w:val="none"/>
        </w:rPr>
        <w:t>新模式等，促进科技成果转化应用，提升农业产业发展能级，提高产品和服务的市场竞争力，推动本市都市现代绿色农业高质量发展，产生明显经济或生态效益。</w:t>
      </w:r>
      <w:r>
        <w:rPr>
          <w:rFonts w:hint="eastAsia" w:ascii="微软雅黑" w:hAnsi="微软雅黑" w:eastAsia="微软雅黑" w:cs="微软雅黑"/>
          <w:color w:val="auto"/>
          <w:sz w:val="28"/>
          <w:szCs w:val="28"/>
          <w:highlight w:val="none"/>
          <w:lang w:bidi="ar"/>
        </w:rPr>
        <w:t>产业提升项目原则上</w:t>
      </w:r>
      <w:r>
        <w:rPr>
          <w:rFonts w:hint="eastAsia" w:ascii="微软雅黑" w:hAnsi="微软雅黑" w:eastAsia="微软雅黑" w:cs="微软雅黑"/>
          <w:color w:val="auto"/>
          <w:sz w:val="28"/>
          <w:szCs w:val="28"/>
          <w:highlight w:val="none"/>
          <w:lang w:eastAsia="zh-CN"/>
        </w:rPr>
        <w:t>实施周期不超过</w:t>
      </w:r>
      <w:r>
        <w:rPr>
          <w:rFonts w:hint="eastAsia" w:ascii="微软雅黑" w:hAnsi="微软雅黑" w:eastAsia="微软雅黑" w:cs="微软雅黑"/>
          <w:color w:val="auto"/>
          <w:sz w:val="28"/>
          <w:szCs w:val="28"/>
          <w:highlight w:val="none"/>
          <w:lang w:val="en-US" w:eastAsia="zh-CN"/>
        </w:rPr>
        <w:t>3年，</w:t>
      </w:r>
      <w:r>
        <w:rPr>
          <w:rFonts w:hint="eastAsia" w:ascii="微软雅黑" w:hAnsi="微软雅黑" w:eastAsia="微软雅黑" w:cs="微软雅黑"/>
          <w:color w:val="auto"/>
          <w:sz w:val="28"/>
          <w:szCs w:val="28"/>
          <w:highlight w:val="none"/>
        </w:rPr>
        <w:t>财政支持资金</w:t>
      </w:r>
      <w:r>
        <w:rPr>
          <w:rFonts w:hint="eastAsia" w:ascii="微软雅黑" w:hAnsi="微软雅黑" w:eastAsia="微软雅黑" w:cs="微软雅黑"/>
          <w:color w:val="auto"/>
          <w:sz w:val="28"/>
          <w:szCs w:val="28"/>
          <w:highlight w:val="none"/>
          <w:lang w:bidi="ar"/>
        </w:rPr>
        <w:t>不超过800万元。</w:t>
      </w:r>
    </w:p>
    <w:p w14:paraId="1AC84F53">
      <w:pPr>
        <w:pStyle w:val="7"/>
        <w:adjustRightInd w:val="0"/>
        <w:snapToGrid w:val="0"/>
        <w:spacing w:before="0" w:beforeAutospacing="0" w:after="0" w:afterAutospacing="0" w:line="360" w:lineRule="auto"/>
        <w:ind w:firstLine="560" w:firstLineChars="200"/>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联合育种攻关项目：支持种业企业与科研院校协同创新，围绕国家战略需求和本市种业发展目标，聚焦重点物种，开展突破性重大品种选育。优先支持国家种业阵型企业、种业育繁推一体化企业、国家农业科技创新联盟牵头企业、国家核心育种场和自主品种获得国家审定且达到一定推广面积（量）的种业创新企业。</w:t>
      </w:r>
      <w:r>
        <w:rPr>
          <w:rFonts w:hint="eastAsia" w:ascii="微软雅黑" w:hAnsi="微软雅黑" w:eastAsia="微软雅黑" w:cs="微软雅黑"/>
          <w:color w:val="auto"/>
          <w:sz w:val="28"/>
          <w:szCs w:val="28"/>
          <w:highlight w:val="none"/>
          <w:lang w:bidi="ar"/>
        </w:rPr>
        <w:t>联合育种攻关项目原则上</w:t>
      </w:r>
      <w:r>
        <w:rPr>
          <w:rFonts w:hint="eastAsia" w:ascii="微软雅黑" w:hAnsi="微软雅黑" w:eastAsia="微软雅黑" w:cs="微软雅黑"/>
          <w:color w:val="auto"/>
          <w:sz w:val="28"/>
          <w:szCs w:val="28"/>
          <w:highlight w:val="none"/>
        </w:rPr>
        <w:t>财政支持资金</w:t>
      </w:r>
      <w:r>
        <w:rPr>
          <w:rFonts w:hint="eastAsia" w:ascii="微软雅黑" w:hAnsi="微软雅黑" w:eastAsia="微软雅黑" w:cs="微软雅黑"/>
          <w:color w:val="auto"/>
          <w:sz w:val="28"/>
          <w:szCs w:val="28"/>
          <w:highlight w:val="none"/>
          <w:lang w:bidi="ar"/>
        </w:rPr>
        <w:t>每年不超过500万元，实施期不超过</w:t>
      </w:r>
      <w:r>
        <w:rPr>
          <w:rFonts w:hint="eastAsia" w:ascii="微软雅黑" w:hAnsi="微软雅黑" w:eastAsia="微软雅黑" w:cs="微软雅黑"/>
          <w:color w:val="auto"/>
          <w:sz w:val="28"/>
          <w:szCs w:val="28"/>
          <w:highlight w:val="none"/>
          <w:lang w:val="en-US" w:eastAsia="zh-CN" w:bidi="ar"/>
        </w:rPr>
        <w:t>5</w:t>
      </w:r>
      <w:r>
        <w:rPr>
          <w:rFonts w:hint="eastAsia" w:ascii="微软雅黑" w:hAnsi="微软雅黑" w:eastAsia="微软雅黑" w:cs="微软雅黑"/>
          <w:color w:val="auto"/>
          <w:sz w:val="28"/>
          <w:szCs w:val="28"/>
          <w:highlight w:val="none"/>
          <w:lang w:bidi="ar"/>
        </w:rPr>
        <w:t>年。</w:t>
      </w:r>
    </w:p>
    <w:p w14:paraId="7A49FDBD">
      <w:pPr>
        <w:pStyle w:val="7"/>
        <w:adjustRightInd w:val="0"/>
        <w:snapToGrid w:val="0"/>
        <w:spacing w:before="0" w:beforeAutospacing="0" w:after="0" w:afterAutospacing="0" w:line="360" w:lineRule="auto"/>
        <w:ind w:firstLine="560" w:firstLineChars="200"/>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科技人才培育项目：支持东方英才计划乡村振兴拔尖项目和青年项目入选者等优秀人才，以追求突破性进展为目标在农业科技领域开展前沿性、创新性研究，加速成长为相关领域领军型人才。</w:t>
      </w:r>
      <w:r>
        <w:rPr>
          <w:rFonts w:hint="eastAsia" w:ascii="微软雅黑" w:hAnsi="微软雅黑" w:eastAsia="微软雅黑" w:cs="微软雅黑"/>
          <w:color w:val="auto"/>
          <w:sz w:val="28"/>
          <w:szCs w:val="28"/>
          <w:highlight w:val="none"/>
          <w:lang w:eastAsia="zh-CN"/>
        </w:rPr>
        <w:t>科技人才培育项目原则上实施周期不超过</w:t>
      </w:r>
      <w:r>
        <w:rPr>
          <w:rFonts w:hint="eastAsia" w:ascii="微软雅黑" w:hAnsi="微软雅黑" w:eastAsia="微软雅黑" w:cs="微软雅黑"/>
          <w:color w:val="auto"/>
          <w:sz w:val="28"/>
          <w:szCs w:val="28"/>
          <w:highlight w:val="none"/>
          <w:lang w:val="en-US" w:eastAsia="zh-CN"/>
        </w:rPr>
        <w:t>2至3年，</w:t>
      </w:r>
      <w:r>
        <w:rPr>
          <w:rFonts w:hint="eastAsia" w:ascii="微软雅黑" w:hAnsi="微软雅黑" w:eastAsia="微软雅黑" w:cs="微软雅黑"/>
          <w:color w:val="auto"/>
          <w:sz w:val="28"/>
          <w:szCs w:val="28"/>
          <w:highlight w:val="none"/>
        </w:rPr>
        <w:t>拔尖项目原则上财政支持资金不超过60万元，青年项目不超过40万元。支持本市各类涉农单位的优秀青年科技人才，围绕都市现代绿色农业重点领域，开展创新性或有实用前景的应用研究，提升本市农业科技人才储备水平，单个项目原则上财政支持资金不超过20万元。</w:t>
      </w:r>
    </w:p>
    <w:p w14:paraId="6E12789F">
      <w:pPr>
        <w:pStyle w:val="7"/>
        <w:adjustRightInd w:val="0"/>
        <w:snapToGrid w:val="0"/>
        <w:spacing w:before="0" w:beforeAutospacing="0" w:after="0" w:afterAutospacing="0" w:line="360" w:lineRule="auto"/>
        <w:ind w:firstLine="561" w:firstLineChars="200"/>
        <w:rPr>
          <w:rFonts w:hint="eastAsia" w:ascii="微软雅黑" w:hAnsi="微软雅黑" w:eastAsia="微软雅黑" w:cs="微软雅黑"/>
          <w:color w:val="auto"/>
          <w:sz w:val="28"/>
          <w:szCs w:val="28"/>
          <w:highlight w:val="none"/>
        </w:rPr>
      </w:pPr>
      <w:r>
        <w:rPr>
          <w:rStyle w:val="10"/>
          <w:rFonts w:hint="eastAsia" w:ascii="微软雅黑" w:hAnsi="微软雅黑" w:eastAsia="微软雅黑" w:cs="微软雅黑"/>
          <w:bCs/>
          <w:color w:val="auto"/>
          <w:sz w:val="28"/>
          <w:szCs w:val="28"/>
          <w:highlight w:val="none"/>
        </w:rPr>
        <w:t>第二章  管理机构与职责</w:t>
      </w:r>
    </w:p>
    <w:p w14:paraId="5B3372C2">
      <w:pPr>
        <w:pStyle w:val="7"/>
        <w:adjustRightInd w:val="0"/>
        <w:snapToGrid w:val="0"/>
        <w:spacing w:before="0" w:beforeAutospacing="0" w:after="0" w:afterAutospacing="0" w:line="360" w:lineRule="auto"/>
        <w:ind w:firstLine="561" w:firstLineChars="200"/>
        <w:rPr>
          <w:rFonts w:hint="eastAsia" w:ascii="微软雅黑" w:hAnsi="微软雅黑" w:eastAsia="微软雅黑" w:cs="微软雅黑"/>
          <w:color w:val="auto"/>
          <w:sz w:val="28"/>
          <w:szCs w:val="28"/>
          <w:highlight w:val="none"/>
        </w:rPr>
      </w:pPr>
      <w:r>
        <w:rPr>
          <w:rStyle w:val="10"/>
          <w:rFonts w:hint="eastAsia" w:ascii="微软雅黑" w:hAnsi="微软雅黑" w:eastAsia="微软雅黑" w:cs="微软雅黑"/>
          <w:bCs/>
          <w:color w:val="auto"/>
          <w:sz w:val="28"/>
          <w:szCs w:val="28"/>
          <w:highlight w:val="none"/>
        </w:rPr>
        <w:t>第五条</w:t>
      </w:r>
      <w:r>
        <w:rPr>
          <w:rFonts w:hint="eastAsia" w:ascii="微软雅黑" w:hAnsi="微软雅黑" w:eastAsia="微软雅黑" w:cs="微软雅黑"/>
          <w:color w:val="auto"/>
          <w:sz w:val="28"/>
          <w:szCs w:val="28"/>
          <w:highlight w:val="none"/>
        </w:rPr>
        <w:t>  上海市农业农村委员会（以下简称市农业农村委）主要负责农业科技创新项目中期财政规划</w:t>
      </w:r>
      <w:r>
        <w:rPr>
          <w:rFonts w:hint="default" w:ascii="微软雅黑" w:hAnsi="微软雅黑" w:eastAsia="微软雅黑" w:cs="微软雅黑"/>
          <w:color w:val="auto"/>
          <w:sz w:val="28"/>
          <w:szCs w:val="28"/>
          <w:highlight w:val="none"/>
          <w:lang w:val="en-US"/>
        </w:rPr>
        <w:t>、</w:t>
      </w:r>
      <w:r>
        <w:rPr>
          <w:rFonts w:hint="eastAsia" w:ascii="微软雅黑" w:hAnsi="微软雅黑" w:eastAsia="微软雅黑" w:cs="微软雅黑"/>
          <w:color w:val="auto"/>
          <w:sz w:val="28"/>
          <w:szCs w:val="28"/>
          <w:highlight w:val="none"/>
        </w:rPr>
        <w:t>年度预算编制、项目指南编制、项目评审、绩效目标制定、绩效跟踪和评价、项目计划审批、项目实施监管、项目验收、信息公开等工作。</w:t>
      </w:r>
    </w:p>
    <w:p w14:paraId="5CFF43DB">
      <w:pPr>
        <w:pStyle w:val="7"/>
        <w:adjustRightInd w:val="0"/>
        <w:snapToGrid w:val="0"/>
        <w:spacing w:before="0" w:beforeAutospacing="0" w:after="0" w:afterAutospacing="0" w:line="360" w:lineRule="auto"/>
        <w:ind w:firstLine="560" w:firstLineChars="200"/>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上海市财政局（以下简称市财政局）主要负责农业科技创新项目中期财政规划</w:t>
      </w:r>
      <w:r>
        <w:rPr>
          <w:rFonts w:hint="default" w:ascii="微软雅黑" w:hAnsi="微软雅黑" w:eastAsia="微软雅黑" w:cs="微软雅黑"/>
          <w:color w:val="auto"/>
          <w:sz w:val="28"/>
          <w:szCs w:val="28"/>
          <w:highlight w:val="none"/>
          <w:lang w:val="en-US"/>
        </w:rPr>
        <w:t>、</w:t>
      </w:r>
      <w:r>
        <w:rPr>
          <w:rFonts w:hint="eastAsia" w:ascii="微软雅黑" w:hAnsi="微软雅黑" w:eastAsia="微软雅黑" w:cs="微软雅黑"/>
          <w:color w:val="auto"/>
          <w:sz w:val="28"/>
          <w:szCs w:val="28"/>
          <w:highlight w:val="none"/>
        </w:rPr>
        <w:t>年度预算审核、财政资金拨付、资金使用管理的跟踪检查和绩效管理，以及配合市农业农村委下达年度项目计划等工作。</w:t>
      </w:r>
    </w:p>
    <w:p w14:paraId="146F6094">
      <w:pPr>
        <w:pStyle w:val="7"/>
        <w:adjustRightInd w:val="0"/>
        <w:snapToGrid w:val="0"/>
        <w:spacing w:before="0" w:beforeAutospacing="0" w:after="0" w:afterAutospacing="0" w:line="360" w:lineRule="auto"/>
        <w:ind w:firstLine="561" w:firstLineChars="200"/>
        <w:rPr>
          <w:rFonts w:hint="eastAsia" w:ascii="微软雅黑" w:hAnsi="微软雅黑" w:eastAsia="微软雅黑" w:cs="微软雅黑"/>
          <w:color w:val="auto"/>
          <w:sz w:val="28"/>
          <w:szCs w:val="28"/>
          <w:highlight w:val="none"/>
        </w:rPr>
      </w:pPr>
      <w:r>
        <w:rPr>
          <w:rStyle w:val="10"/>
          <w:rFonts w:hint="eastAsia" w:ascii="微软雅黑" w:hAnsi="微软雅黑" w:eastAsia="微软雅黑" w:cs="微软雅黑"/>
          <w:bCs/>
          <w:color w:val="auto"/>
          <w:sz w:val="28"/>
          <w:szCs w:val="28"/>
          <w:highlight w:val="none"/>
        </w:rPr>
        <w:t>第六条</w:t>
      </w:r>
      <w:r>
        <w:rPr>
          <w:rFonts w:hint="eastAsia" w:ascii="微软雅黑" w:hAnsi="微软雅黑" w:eastAsia="微软雅黑" w:cs="微软雅黑"/>
          <w:color w:val="auto"/>
          <w:sz w:val="28"/>
          <w:szCs w:val="28"/>
          <w:highlight w:val="none"/>
        </w:rPr>
        <w:t>  上海市农业科技服务中心（以下简称市农业科技服务中心）具体负责全市农业科技创新项目的过程管理，包括项目需求征集、申报受理、组织评审、合同签订、合同变更审核、动态管理、组织验收等工作。</w:t>
      </w:r>
    </w:p>
    <w:p w14:paraId="6FF61EF4">
      <w:pPr>
        <w:pStyle w:val="7"/>
        <w:adjustRightInd w:val="0"/>
        <w:snapToGrid w:val="0"/>
        <w:spacing w:before="0" w:beforeAutospacing="0" w:after="0" w:afterAutospacing="0" w:line="360" w:lineRule="auto"/>
        <w:ind w:firstLine="561" w:firstLineChars="200"/>
        <w:rPr>
          <w:rFonts w:hint="eastAsia" w:ascii="微软雅黑" w:hAnsi="微软雅黑" w:eastAsia="微软雅黑" w:cs="微软雅黑"/>
          <w:color w:val="auto"/>
          <w:sz w:val="28"/>
          <w:szCs w:val="28"/>
          <w:highlight w:val="none"/>
        </w:rPr>
      </w:pPr>
      <w:r>
        <w:rPr>
          <w:rStyle w:val="10"/>
          <w:rFonts w:hint="eastAsia" w:ascii="微软雅黑" w:hAnsi="微软雅黑" w:eastAsia="微软雅黑" w:cs="微软雅黑"/>
          <w:bCs/>
          <w:color w:val="auto"/>
          <w:sz w:val="28"/>
          <w:szCs w:val="28"/>
          <w:highlight w:val="none"/>
        </w:rPr>
        <w:t>第三章  项目管理</w:t>
      </w:r>
    </w:p>
    <w:p w14:paraId="66E5189E">
      <w:pPr>
        <w:pStyle w:val="7"/>
        <w:adjustRightInd w:val="0"/>
        <w:snapToGrid w:val="0"/>
        <w:spacing w:before="0" w:beforeAutospacing="0" w:after="0" w:afterAutospacing="0" w:line="360" w:lineRule="auto"/>
        <w:ind w:firstLine="561" w:firstLineChars="200"/>
        <w:rPr>
          <w:rFonts w:hint="eastAsia" w:ascii="微软雅黑" w:hAnsi="微软雅黑" w:eastAsia="微软雅黑" w:cs="微软雅黑"/>
          <w:color w:val="auto"/>
          <w:sz w:val="28"/>
          <w:szCs w:val="28"/>
          <w:highlight w:val="none"/>
        </w:rPr>
      </w:pPr>
      <w:r>
        <w:rPr>
          <w:rStyle w:val="10"/>
          <w:rFonts w:hint="eastAsia" w:ascii="微软雅黑" w:hAnsi="微软雅黑" w:eastAsia="微软雅黑" w:cs="微软雅黑"/>
          <w:bCs/>
          <w:color w:val="auto"/>
          <w:sz w:val="28"/>
          <w:szCs w:val="28"/>
          <w:highlight w:val="none"/>
        </w:rPr>
        <w:t>第七条</w:t>
      </w:r>
      <w:r>
        <w:rPr>
          <w:rFonts w:hint="eastAsia" w:ascii="微软雅黑" w:hAnsi="微软雅黑" w:eastAsia="微软雅黑" w:cs="微软雅黑"/>
          <w:color w:val="auto"/>
          <w:sz w:val="28"/>
          <w:szCs w:val="28"/>
          <w:highlight w:val="none"/>
        </w:rPr>
        <w:t>  项目立项管理</w:t>
      </w:r>
    </w:p>
    <w:p w14:paraId="00381E8D">
      <w:pPr>
        <w:pStyle w:val="7"/>
        <w:numPr>
          <w:ilvl w:val="0"/>
          <w:numId w:val="1"/>
        </w:numPr>
        <w:adjustRightInd w:val="0"/>
        <w:snapToGrid w:val="0"/>
        <w:spacing w:before="0" w:beforeAutospacing="0" w:after="0" w:afterAutospacing="0" w:line="360" w:lineRule="auto"/>
        <w:ind w:firstLine="560" w:firstLineChars="200"/>
        <w:rPr>
          <w:rFonts w:hint="eastAsia" w:ascii="微软雅黑" w:hAnsi="微软雅黑" w:eastAsia="微软雅黑" w:cs="微软雅黑"/>
          <w:color w:val="auto"/>
          <w:sz w:val="28"/>
          <w:szCs w:val="28"/>
          <w:highlight w:val="none"/>
          <w:lang w:bidi="ar"/>
        </w:rPr>
      </w:pPr>
      <w:r>
        <w:rPr>
          <w:rFonts w:hint="eastAsia" w:ascii="微软雅黑" w:hAnsi="微软雅黑" w:eastAsia="微软雅黑" w:cs="微软雅黑"/>
          <w:color w:val="auto"/>
          <w:sz w:val="28"/>
          <w:szCs w:val="28"/>
          <w:highlight w:val="none"/>
          <w:lang w:bidi="ar"/>
        </w:rPr>
        <w:t>需求征集。</w:t>
      </w:r>
      <w:r>
        <w:rPr>
          <w:rFonts w:hint="eastAsia" w:ascii="微软雅黑" w:hAnsi="微软雅黑" w:eastAsia="微软雅黑" w:cs="微软雅黑"/>
          <w:color w:val="auto"/>
          <w:sz w:val="28"/>
          <w:szCs w:val="28"/>
          <w:highlight w:val="none"/>
        </w:rPr>
        <w:t>建立和完善自上而下和自下而上相结合的科技任务需求凝练机制</w:t>
      </w:r>
      <w:r>
        <w:rPr>
          <w:rFonts w:hint="eastAsia" w:ascii="微软雅黑" w:hAnsi="微软雅黑" w:eastAsia="微软雅黑" w:cs="微软雅黑"/>
          <w:color w:val="auto"/>
          <w:sz w:val="28"/>
          <w:szCs w:val="28"/>
          <w:highlight w:val="none"/>
          <w:lang w:eastAsia="zh-CN"/>
        </w:rPr>
        <w:t>，</w:t>
      </w:r>
      <w:r>
        <w:rPr>
          <w:rFonts w:hint="eastAsia" w:ascii="微软雅黑" w:hAnsi="微软雅黑" w:eastAsia="微软雅黑" w:cs="微软雅黑"/>
          <w:color w:val="auto"/>
          <w:sz w:val="28"/>
          <w:szCs w:val="28"/>
          <w:highlight w:val="none"/>
        </w:rPr>
        <w:t>发挥战略专家咨询委员会作用，</w:t>
      </w:r>
      <w:r>
        <w:rPr>
          <w:rFonts w:hint="eastAsia" w:ascii="微软雅黑" w:hAnsi="微软雅黑" w:eastAsia="微软雅黑" w:cs="微软雅黑"/>
          <w:color w:val="auto"/>
          <w:sz w:val="28"/>
          <w:szCs w:val="28"/>
          <w:highlight w:val="none"/>
          <w:lang w:val="en-US" w:eastAsia="zh-CN"/>
        </w:rPr>
        <w:t>提出</w:t>
      </w:r>
      <w:r>
        <w:rPr>
          <w:rFonts w:hint="eastAsia" w:ascii="微软雅黑" w:hAnsi="微软雅黑" w:eastAsia="微软雅黑" w:cs="微软雅黑"/>
          <w:color w:val="auto"/>
          <w:sz w:val="28"/>
          <w:szCs w:val="28"/>
          <w:highlight w:val="none"/>
        </w:rPr>
        <w:t>重大创新方向，保持战略敏捷。</w:t>
      </w:r>
      <w:r>
        <w:rPr>
          <w:rFonts w:hint="eastAsia" w:ascii="微软雅黑" w:hAnsi="微软雅黑" w:eastAsia="微软雅黑" w:cs="微软雅黑"/>
          <w:color w:val="auto"/>
          <w:sz w:val="28"/>
          <w:szCs w:val="28"/>
          <w:highlight w:val="none"/>
          <w:lang w:eastAsia="zh-CN"/>
        </w:rPr>
        <w:t>面向</w:t>
      </w:r>
      <w:r>
        <w:rPr>
          <w:rFonts w:hint="eastAsia" w:ascii="微软雅黑" w:hAnsi="微软雅黑" w:eastAsia="微软雅黑" w:cs="微软雅黑"/>
          <w:color w:val="auto"/>
          <w:sz w:val="28"/>
          <w:szCs w:val="28"/>
          <w:highlight w:val="none"/>
        </w:rPr>
        <w:t>高校、科研院所、企业</w:t>
      </w:r>
      <w:r>
        <w:rPr>
          <w:rFonts w:hint="eastAsia" w:ascii="微软雅黑" w:hAnsi="微软雅黑" w:eastAsia="微软雅黑" w:cs="微软雅黑"/>
          <w:color w:val="auto"/>
          <w:sz w:val="28"/>
          <w:szCs w:val="28"/>
          <w:highlight w:val="none"/>
          <w:lang w:eastAsia="zh-CN"/>
        </w:rPr>
        <w:t>、各涉农区以及农业生产一线常态化征集需求</w:t>
      </w:r>
      <w:r>
        <w:rPr>
          <w:rFonts w:hint="eastAsia" w:ascii="微软雅黑" w:hAnsi="微软雅黑" w:eastAsia="微软雅黑" w:cs="微软雅黑"/>
          <w:color w:val="auto"/>
          <w:sz w:val="28"/>
          <w:szCs w:val="28"/>
          <w:highlight w:val="none"/>
          <w:lang w:bidi="ar"/>
        </w:rPr>
        <w:t>。</w:t>
      </w:r>
    </w:p>
    <w:p w14:paraId="7CFA2506">
      <w:pPr>
        <w:pStyle w:val="7"/>
        <w:adjustRightInd w:val="0"/>
        <w:snapToGrid w:val="0"/>
        <w:spacing w:before="0" w:beforeAutospacing="0" w:after="0" w:afterAutospacing="0" w:line="360" w:lineRule="auto"/>
        <w:ind w:firstLine="560" w:firstLineChars="200"/>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（二）指南发布。市农业农村委</w:t>
      </w:r>
      <w:r>
        <w:rPr>
          <w:rFonts w:hint="eastAsia" w:ascii="微软雅黑" w:hAnsi="微软雅黑" w:eastAsia="微软雅黑" w:cs="微软雅黑"/>
          <w:color w:val="auto"/>
          <w:sz w:val="28"/>
          <w:szCs w:val="28"/>
          <w:highlight w:val="none"/>
          <w:lang w:bidi="ar"/>
        </w:rPr>
        <w:t>按照服务</w:t>
      </w:r>
      <w:r>
        <w:rPr>
          <w:rFonts w:hint="eastAsia" w:ascii="微软雅黑" w:hAnsi="微软雅黑" w:eastAsia="微软雅黑" w:cs="微软雅黑"/>
          <w:color w:val="auto"/>
          <w:sz w:val="28"/>
          <w:szCs w:val="28"/>
          <w:highlight w:val="none"/>
          <w:lang w:eastAsia="zh-CN" w:bidi="ar"/>
        </w:rPr>
        <w:t>国家战略和服务本地农业生产</w:t>
      </w:r>
      <w:r>
        <w:rPr>
          <w:rFonts w:hint="eastAsia" w:ascii="微软雅黑" w:hAnsi="微软雅黑" w:eastAsia="微软雅黑" w:cs="微软雅黑"/>
          <w:color w:val="auto"/>
          <w:sz w:val="28"/>
          <w:szCs w:val="28"/>
          <w:highlight w:val="none"/>
          <w:lang w:bidi="ar"/>
        </w:rPr>
        <w:t>的总体要求，</w:t>
      </w:r>
      <w:r>
        <w:rPr>
          <w:rFonts w:hint="eastAsia" w:ascii="微软雅黑" w:hAnsi="微软雅黑" w:eastAsia="微软雅黑" w:cs="微软雅黑"/>
          <w:color w:val="auto"/>
          <w:sz w:val="28"/>
          <w:szCs w:val="28"/>
          <w:highlight w:val="none"/>
        </w:rPr>
        <w:t>突出目标导向、需求导向和问题导向，编制项目申报指南并发布。</w:t>
      </w:r>
    </w:p>
    <w:p w14:paraId="68095101">
      <w:pPr>
        <w:tabs>
          <w:tab w:val="left" w:pos="4253"/>
        </w:tabs>
        <w:adjustRightInd w:val="0"/>
        <w:snapToGrid w:val="0"/>
        <w:spacing w:line="360" w:lineRule="auto"/>
        <w:ind w:firstLine="560" w:firstLineChars="200"/>
        <w:outlineLvl w:val="4"/>
        <w:rPr>
          <w:rFonts w:hint="eastAsia" w:ascii="仿宋_GB2312" w:hAnsi="仿宋_GB2312" w:eastAsia="仿宋_GB2312" w:cs="仿宋_GB2312"/>
          <w:color w:val="auto"/>
          <w:sz w:val="28"/>
          <w:szCs w:val="28"/>
          <w:highlight w:val="none"/>
        </w:rPr>
      </w:pPr>
      <w:r>
        <w:rPr>
          <w:rFonts w:hint="eastAsia" w:ascii="微软雅黑" w:hAnsi="微软雅黑" w:eastAsia="微软雅黑" w:cs="微软雅黑"/>
          <w:color w:val="auto"/>
          <w:sz w:val="28"/>
          <w:szCs w:val="28"/>
          <w:highlight w:val="none"/>
        </w:rPr>
        <w:t>（三）项目申报。申报单位根据申报指南编制项目申报书，报送市农业科技服务中心。注册在涉农区的单位，需由区农业农村委初审同意后方可申报，中央在沪单位、市属单位及其分支机构，以及其他注册在非涉农区的单位，可直接申报。市农业科技服务中心对项目申报书进行审查，并形成审查结果。</w:t>
      </w:r>
    </w:p>
    <w:p w14:paraId="05D7B02E">
      <w:pPr>
        <w:pStyle w:val="7"/>
        <w:adjustRightInd w:val="0"/>
        <w:snapToGrid w:val="0"/>
        <w:spacing w:before="0" w:beforeAutospacing="0" w:after="0" w:afterAutospacing="0" w:line="360" w:lineRule="auto"/>
        <w:ind w:firstLine="560" w:firstLineChars="200"/>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四）项目评审。市农业科技服务中心提出项目评审方案，经市农业农村委审定后，组织专家对申报项目开展评审，评审专家根据项目申报情况独立形成评审意见。市农业科技服务中心汇总专家评审结果，报市农业农村委。</w:t>
      </w:r>
    </w:p>
    <w:p w14:paraId="20052703">
      <w:pPr>
        <w:pStyle w:val="7"/>
        <w:adjustRightInd w:val="0"/>
        <w:snapToGrid w:val="0"/>
        <w:spacing w:before="0" w:beforeAutospacing="0" w:after="0" w:afterAutospacing="0" w:line="360" w:lineRule="auto"/>
        <w:ind w:firstLine="560" w:firstLineChars="200"/>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（五）项目公示。市农业农村委根据专家评审结果，研究确定项目主持单位和项目经费，并将拟立项计划向社会公示。</w:t>
      </w:r>
    </w:p>
    <w:p w14:paraId="630582E5">
      <w:pPr>
        <w:pStyle w:val="7"/>
        <w:adjustRightInd w:val="0"/>
        <w:snapToGrid w:val="0"/>
        <w:spacing w:before="0" w:beforeAutospacing="0" w:after="0" w:afterAutospacing="0" w:line="360" w:lineRule="auto"/>
        <w:ind w:firstLine="560" w:firstLineChars="200"/>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（六）项目下达。经公示无异议后，由市农业农村委根据项目资金预算安排，商市财政局同意后下达项目年度计划。</w:t>
      </w:r>
    </w:p>
    <w:p w14:paraId="60273CAA">
      <w:pPr>
        <w:pStyle w:val="7"/>
        <w:adjustRightInd w:val="0"/>
        <w:snapToGrid w:val="0"/>
        <w:spacing w:before="0" w:beforeAutospacing="0" w:after="0" w:afterAutospacing="0" w:line="360" w:lineRule="auto"/>
        <w:ind w:firstLine="561" w:firstLineChars="200"/>
        <w:rPr>
          <w:rFonts w:hint="eastAsia" w:ascii="微软雅黑" w:hAnsi="微软雅黑" w:eastAsia="微软雅黑" w:cs="微软雅黑"/>
          <w:color w:val="auto"/>
          <w:sz w:val="28"/>
          <w:szCs w:val="28"/>
          <w:highlight w:val="none"/>
        </w:rPr>
      </w:pPr>
      <w:r>
        <w:rPr>
          <w:rStyle w:val="10"/>
          <w:rFonts w:hint="eastAsia" w:ascii="微软雅黑" w:hAnsi="微软雅黑" w:eastAsia="微软雅黑" w:cs="微软雅黑"/>
          <w:bCs/>
          <w:color w:val="auto"/>
          <w:sz w:val="28"/>
          <w:szCs w:val="28"/>
          <w:highlight w:val="none"/>
        </w:rPr>
        <w:t>第八条</w:t>
      </w:r>
      <w:r>
        <w:rPr>
          <w:rFonts w:hint="eastAsia" w:ascii="微软雅黑" w:hAnsi="微软雅黑" w:eastAsia="微软雅黑" w:cs="微软雅黑"/>
          <w:color w:val="auto"/>
          <w:sz w:val="28"/>
          <w:szCs w:val="28"/>
          <w:highlight w:val="none"/>
        </w:rPr>
        <w:t>  项目日常管理</w:t>
      </w:r>
    </w:p>
    <w:p w14:paraId="7C55A20F">
      <w:pPr>
        <w:tabs>
          <w:tab w:val="left" w:pos="4253"/>
        </w:tabs>
        <w:adjustRightInd w:val="0"/>
        <w:snapToGrid w:val="0"/>
        <w:spacing w:line="360" w:lineRule="auto"/>
        <w:ind w:firstLine="560" w:firstLineChars="200"/>
        <w:outlineLvl w:val="4"/>
        <w:rPr>
          <w:rFonts w:hint="eastAsia" w:ascii="微软雅黑" w:hAnsi="微软雅黑" w:eastAsia="微软雅黑" w:cs="微软雅黑"/>
          <w:color w:val="auto"/>
          <w:kern w:val="0"/>
          <w:sz w:val="28"/>
          <w:szCs w:val="28"/>
          <w:highlight w:val="none"/>
          <w:lang w:bidi="ar"/>
        </w:rPr>
      </w:pPr>
      <w:r>
        <w:rPr>
          <w:rFonts w:hint="eastAsia" w:ascii="微软雅黑" w:hAnsi="微软雅黑" w:eastAsia="微软雅黑" w:cs="微软雅黑"/>
          <w:color w:val="auto"/>
          <w:kern w:val="0"/>
          <w:sz w:val="28"/>
          <w:szCs w:val="28"/>
          <w:highlight w:val="none"/>
          <w:lang w:bidi="ar"/>
        </w:rPr>
        <w:t>（一）合同签订。项目计划下达后，市农业科技服务中心根据市农业农村委批复及有关要求，与项目主持单位签订项目合同，明确项目实施内容、计划进度、考核指标、经费预算（含自筹经费）以及合同各方权利、责任、义务等内容。项目主持单位与协作单位（以下统称项目承担单位）签订二级合同，明确主持单位和协作单位之间的任务分工、知识产权归属等内容，二级合同内容不得与项目合同内容相抵触。项目主持单位及经费达到50万元的协作单位，如为企业或合作社，须在市农业农村委指定的银行开设项目资金监管专户。</w:t>
      </w:r>
    </w:p>
    <w:p w14:paraId="00A1388B">
      <w:pPr>
        <w:tabs>
          <w:tab w:val="left" w:pos="4253"/>
        </w:tabs>
        <w:adjustRightInd w:val="0"/>
        <w:snapToGrid w:val="0"/>
        <w:spacing w:line="360" w:lineRule="auto"/>
        <w:ind w:firstLine="560" w:firstLineChars="200"/>
        <w:outlineLvl w:val="4"/>
        <w:rPr>
          <w:rFonts w:hint="eastAsia" w:ascii="微软雅黑" w:hAnsi="微软雅黑" w:eastAsia="微软雅黑" w:cs="微软雅黑"/>
          <w:color w:val="auto"/>
          <w:kern w:val="0"/>
          <w:sz w:val="28"/>
          <w:szCs w:val="28"/>
          <w:highlight w:val="none"/>
          <w:lang w:bidi="ar"/>
        </w:rPr>
      </w:pPr>
      <w:r>
        <w:rPr>
          <w:rFonts w:hint="eastAsia" w:ascii="微软雅黑" w:hAnsi="微软雅黑" w:eastAsia="微软雅黑" w:cs="微软雅黑"/>
          <w:color w:val="auto"/>
          <w:kern w:val="0"/>
          <w:sz w:val="28"/>
          <w:szCs w:val="28"/>
          <w:highlight w:val="none"/>
          <w:lang w:bidi="ar"/>
        </w:rPr>
        <w:t>（二）动态管理。项目主持单位应于每年11月30日前通过上海市农业科技项目综合服务子系统（以下简称“项目系统”）提交项目年度工作总结。对项目取得的重大进展，以及可能影响项目实施的重大事项或问题，项目主持单位应当及时书面报告市农业科技服务中心。市农业科技服务中心应当为项目实施提供协调和服务，对实施周期较长、资金量较大的项目，可引入外部专家或第三方机构开展中期检查。</w:t>
      </w:r>
    </w:p>
    <w:p w14:paraId="58571AFB">
      <w:pPr>
        <w:pStyle w:val="7"/>
        <w:adjustRightInd w:val="0"/>
        <w:snapToGrid w:val="0"/>
        <w:spacing w:before="0" w:beforeAutospacing="0" w:after="0" w:afterAutospacing="0" w:line="360" w:lineRule="auto"/>
        <w:ind w:firstLine="560" w:firstLineChars="200"/>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三）项目变更。项目实施中，在立项目标和研究方向不变、不降低考核指标且符合原申报指南要求的前提下，项目承担单位可以自主调整技术路线、实施人员等，并及时向市农业科技服务中心备案，其中项目协作单位有关调整情况应向项目主持单位备案。科技人才培育项目不得变更项目负责人。</w:t>
      </w:r>
    </w:p>
    <w:p w14:paraId="539EC5FC">
      <w:pPr>
        <w:tabs>
          <w:tab w:val="left" w:pos="4253"/>
        </w:tabs>
        <w:adjustRightInd w:val="0"/>
        <w:snapToGrid w:val="0"/>
        <w:spacing w:line="360" w:lineRule="auto"/>
        <w:ind w:firstLine="560" w:firstLineChars="200"/>
        <w:outlineLvl w:val="4"/>
        <w:rPr>
          <w:rFonts w:hint="eastAsia" w:ascii="仿宋_GB2312" w:hAnsi="仿宋_GB2312" w:eastAsia="仿宋_GB2312" w:cs="仿宋_GB2312"/>
          <w:color w:val="auto"/>
          <w:sz w:val="28"/>
          <w:szCs w:val="28"/>
          <w:highlight w:val="none"/>
        </w:rPr>
      </w:pPr>
      <w:r>
        <w:rPr>
          <w:rFonts w:hint="eastAsia" w:ascii="微软雅黑" w:hAnsi="微软雅黑" w:eastAsia="微软雅黑" w:cs="微软雅黑"/>
          <w:color w:val="auto"/>
          <w:sz w:val="28"/>
          <w:szCs w:val="28"/>
          <w:highlight w:val="none"/>
        </w:rPr>
        <w:t>涉及项目负责人、协作单位等事项，项目主持单位应当及时向市农业科技服务中心提出申请，获得批准后方可实施变更。</w:t>
      </w:r>
      <w:r>
        <w:rPr>
          <w:rFonts w:hint="eastAsia" w:ascii="微软雅黑" w:hAnsi="微软雅黑" w:eastAsia="微软雅黑" w:cs="微软雅黑"/>
          <w:color w:val="auto"/>
          <w:kern w:val="0"/>
          <w:sz w:val="28"/>
          <w:szCs w:val="28"/>
          <w:highlight w:val="none"/>
          <w:lang w:bidi="ar"/>
        </w:rPr>
        <w:t>项目主持单位应</w:t>
      </w:r>
      <w:r>
        <w:rPr>
          <w:rFonts w:hint="eastAsia" w:ascii="微软雅黑" w:hAnsi="微软雅黑" w:eastAsia="微软雅黑" w:cs="微软雅黑"/>
          <w:color w:val="auto"/>
          <w:kern w:val="0"/>
          <w:sz w:val="28"/>
          <w:szCs w:val="28"/>
          <w:highlight w:val="none"/>
          <w:lang w:eastAsia="zh-CN" w:bidi="ar"/>
        </w:rPr>
        <w:t>及时</w:t>
      </w:r>
      <w:r>
        <w:rPr>
          <w:rFonts w:hint="eastAsia" w:ascii="微软雅黑" w:hAnsi="微软雅黑" w:eastAsia="微软雅黑" w:cs="微软雅黑"/>
          <w:color w:val="auto"/>
          <w:kern w:val="0"/>
          <w:sz w:val="28"/>
          <w:szCs w:val="28"/>
          <w:highlight w:val="none"/>
          <w:lang w:bidi="ar"/>
        </w:rPr>
        <w:t>向市农业科技服务中心提出变更申请</w:t>
      </w:r>
      <w:r>
        <w:rPr>
          <w:rFonts w:hint="eastAsia" w:ascii="微软雅黑" w:hAnsi="微软雅黑" w:eastAsia="微软雅黑" w:cs="微软雅黑"/>
          <w:color w:val="auto"/>
          <w:kern w:val="0"/>
          <w:sz w:val="28"/>
          <w:szCs w:val="28"/>
          <w:highlight w:val="none"/>
          <w:lang w:eastAsia="zh-CN" w:bidi="ar"/>
        </w:rPr>
        <w:t>，</w:t>
      </w:r>
      <w:r>
        <w:rPr>
          <w:rFonts w:hint="eastAsia" w:ascii="微软雅黑" w:hAnsi="微软雅黑" w:eastAsia="微软雅黑" w:cs="微软雅黑"/>
          <w:color w:val="auto"/>
          <w:kern w:val="0"/>
          <w:sz w:val="28"/>
          <w:szCs w:val="28"/>
          <w:highlight w:val="none"/>
          <w:lang w:bidi="ar"/>
        </w:rPr>
        <w:t>在合同完成期限</w:t>
      </w:r>
      <w:r>
        <w:rPr>
          <w:rFonts w:hint="eastAsia" w:ascii="微软雅黑" w:hAnsi="微软雅黑" w:eastAsia="微软雅黑" w:cs="微软雅黑"/>
          <w:color w:val="auto"/>
          <w:kern w:val="0"/>
          <w:sz w:val="28"/>
          <w:szCs w:val="28"/>
          <w:highlight w:val="none"/>
          <w:lang w:val="en-US" w:eastAsia="zh-CN" w:bidi="ar"/>
        </w:rPr>
        <w:t>6</w:t>
      </w:r>
      <w:r>
        <w:rPr>
          <w:rFonts w:hint="eastAsia" w:ascii="微软雅黑" w:hAnsi="微软雅黑" w:eastAsia="微软雅黑" w:cs="微软雅黑"/>
          <w:color w:val="auto"/>
          <w:kern w:val="0"/>
          <w:sz w:val="28"/>
          <w:szCs w:val="28"/>
          <w:highlight w:val="none"/>
          <w:lang w:bidi="ar"/>
        </w:rPr>
        <w:t>个月</w:t>
      </w:r>
      <w:r>
        <w:rPr>
          <w:rFonts w:hint="eastAsia" w:ascii="微软雅黑" w:hAnsi="微软雅黑" w:eastAsia="微软雅黑" w:cs="微软雅黑"/>
          <w:color w:val="auto"/>
          <w:kern w:val="0"/>
          <w:sz w:val="28"/>
          <w:szCs w:val="28"/>
          <w:highlight w:val="none"/>
          <w:lang w:eastAsia="zh-CN" w:bidi="ar"/>
        </w:rPr>
        <w:t>内不再接受申请</w:t>
      </w:r>
      <w:r>
        <w:rPr>
          <w:rFonts w:hint="eastAsia" w:ascii="微软雅黑" w:hAnsi="微软雅黑" w:eastAsia="微软雅黑" w:cs="微软雅黑"/>
          <w:color w:val="auto"/>
          <w:kern w:val="0"/>
          <w:sz w:val="28"/>
          <w:szCs w:val="28"/>
          <w:highlight w:val="none"/>
          <w:lang w:bidi="ar"/>
        </w:rPr>
        <w:t>。</w:t>
      </w:r>
    </w:p>
    <w:p w14:paraId="3AB8B2D1">
      <w:pPr>
        <w:pStyle w:val="7"/>
        <w:adjustRightInd w:val="0"/>
        <w:snapToGrid w:val="0"/>
        <w:spacing w:before="0" w:beforeAutospacing="0" w:after="0" w:afterAutospacing="0" w:line="360" w:lineRule="auto"/>
        <w:ind w:firstLine="560" w:firstLineChars="200"/>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因客观原因或不可抗力，不能按期完成的项目，项目主持单位应在合同完成期限</w:t>
      </w:r>
      <w:r>
        <w:rPr>
          <w:rFonts w:hint="eastAsia" w:ascii="微软雅黑" w:hAnsi="微软雅黑" w:eastAsia="微软雅黑" w:cs="微软雅黑"/>
          <w:color w:val="auto"/>
          <w:sz w:val="28"/>
          <w:szCs w:val="28"/>
          <w:highlight w:val="none"/>
          <w:lang w:bidi="ar"/>
        </w:rPr>
        <w:t>3个月</w:t>
      </w:r>
      <w:r>
        <w:rPr>
          <w:rFonts w:hint="eastAsia" w:ascii="微软雅黑" w:hAnsi="微软雅黑" w:eastAsia="微软雅黑" w:cs="微软雅黑"/>
          <w:color w:val="auto"/>
          <w:sz w:val="28"/>
          <w:szCs w:val="28"/>
          <w:highlight w:val="none"/>
        </w:rPr>
        <w:t>前向市农业科技服务中心提出延期申请，获得批准后方可延期。原则上，延期次数不超过一次，延期时间不超过1年。</w:t>
      </w:r>
    </w:p>
    <w:p w14:paraId="5F6F3F4D">
      <w:pPr>
        <w:pStyle w:val="7"/>
        <w:adjustRightInd w:val="0"/>
        <w:snapToGrid w:val="0"/>
        <w:spacing w:before="0" w:beforeAutospacing="0" w:after="0" w:afterAutospacing="0" w:line="360" w:lineRule="auto"/>
        <w:ind w:firstLine="560" w:firstLineChars="200"/>
        <w:jc w:val="both"/>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（四）项目终止。项目实施过程中有下列情形之一的，项目主持单位可以向市农业农村委申请项目终止或由市农业农村委直接终止：</w:t>
      </w:r>
    </w:p>
    <w:p w14:paraId="5510728B">
      <w:pPr>
        <w:pStyle w:val="7"/>
        <w:adjustRightInd w:val="0"/>
        <w:snapToGrid w:val="0"/>
        <w:spacing w:before="0" w:beforeAutospacing="0" w:after="0" w:afterAutospacing="0" w:line="360" w:lineRule="auto"/>
        <w:ind w:firstLine="560" w:firstLineChars="200"/>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1. 经实践证明，项目技术路线不可行，或项目无法实现合同约定的进度且无改进方法；</w:t>
      </w:r>
    </w:p>
    <w:p w14:paraId="407E0927">
      <w:pPr>
        <w:pStyle w:val="7"/>
        <w:adjustRightInd w:val="0"/>
        <w:snapToGrid w:val="0"/>
        <w:spacing w:before="0" w:beforeAutospacing="0" w:after="0" w:afterAutospacing="0" w:line="360" w:lineRule="auto"/>
        <w:ind w:firstLine="560" w:firstLineChars="200"/>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2. 完成项目任务所需的资金、物资、人员、支撑条件等未落实或发生改变导致项目无法正常</w:t>
      </w:r>
      <w:r>
        <w:rPr>
          <w:rFonts w:hint="eastAsia" w:ascii="微软雅黑" w:hAnsi="微软雅黑" w:eastAsia="微软雅黑" w:cs="微软雅黑"/>
          <w:color w:val="auto"/>
          <w:sz w:val="28"/>
          <w:szCs w:val="28"/>
          <w:highlight w:val="none"/>
          <w:lang w:val="en-US" w:eastAsia="zh-CN"/>
        </w:rPr>
        <w:t>实施</w:t>
      </w:r>
      <w:r>
        <w:rPr>
          <w:rFonts w:hint="eastAsia" w:ascii="微软雅黑" w:hAnsi="微软雅黑" w:eastAsia="微软雅黑" w:cs="微软雅黑"/>
          <w:color w:val="auto"/>
          <w:sz w:val="28"/>
          <w:szCs w:val="28"/>
          <w:highlight w:val="none"/>
        </w:rPr>
        <w:t>；</w:t>
      </w:r>
    </w:p>
    <w:p w14:paraId="1AD057C3">
      <w:pPr>
        <w:pStyle w:val="7"/>
        <w:adjustRightInd w:val="0"/>
        <w:snapToGrid w:val="0"/>
        <w:spacing w:before="0" w:beforeAutospacing="0" w:after="0" w:afterAutospacing="0" w:line="360" w:lineRule="auto"/>
        <w:ind w:firstLine="560" w:firstLineChars="200"/>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3. 项目承担单位在项目实施中，出现严重违规违纪行为，不按规定进行整改、拒绝整改或无法整改；</w:t>
      </w:r>
    </w:p>
    <w:p w14:paraId="431E93F2">
      <w:pPr>
        <w:pStyle w:val="7"/>
        <w:adjustRightInd w:val="0"/>
        <w:snapToGrid w:val="0"/>
        <w:spacing w:before="0" w:beforeAutospacing="0" w:after="0" w:afterAutospacing="0" w:line="360" w:lineRule="auto"/>
        <w:ind w:firstLine="560" w:firstLineChars="200"/>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4. 项目承担单位未按项目合同约定的计划进度实施项目，中期检查评级为未完成且经催告后在规定期限内未完成整改；</w:t>
      </w:r>
    </w:p>
    <w:p w14:paraId="4EFB0EF9">
      <w:pPr>
        <w:pStyle w:val="7"/>
        <w:adjustRightInd w:val="0"/>
        <w:snapToGrid w:val="0"/>
        <w:spacing w:before="0" w:beforeAutospacing="0" w:after="0" w:afterAutospacing="0" w:line="360" w:lineRule="auto"/>
        <w:ind w:firstLine="560" w:firstLineChars="200"/>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5. 项目承担单位不接受项目管理部门监督检查，经催告后仍不配合的；</w:t>
      </w:r>
    </w:p>
    <w:p w14:paraId="484BA6B1">
      <w:pPr>
        <w:pStyle w:val="7"/>
        <w:adjustRightInd w:val="0"/>
        <w:snapToGrid w:val="0"/>
        <w:spacing w:before="0" w:beforeAutospacing="0" w:after="0" w:afterAutospacing="0" w:line="360" w:lineRule="auto"/>
        <w:ind w:firstLine="560" w:firstLineChars="200"/>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6. 项目主持单位未按期提交验收申请或提交申请后6个月内仍未提交验收材料的；</w:t>
      </w:r>
    </w:p>
    <w:p w14:paraId="6C843213">
      <w:pPr>
        <w:pStyle w:val="7"/>
        <w:adjustRightInd w:val="0"/>
        <w:snapToGrid w:val="0"/>
        <w:spacing w:before="0" w:beforeAutospacing="0" w:after="0" w:afterAutospacing="0" w:line="360" w:lineRule="auto"/>
        <w:ind w:firstLine="560" w:firstLineChars="200"/>
        <w:rPr>
          <w:rFonts w:hint="eastAsia" w:ascii="微软雅黑" w:hAnsi="微软雅黑" w:eastAsia="微软雅黑" w:cs="微软雅黑"/>
          <w:color w:val="auto"/>
          <w:sz w:val="28"/>
          <w:szCs w:val="28"/>
          <w:highlight w:val="none"/>
          <w:lang w:bidi="ar"/>
        </w:rPr>
      </w:pPr>
      <w:r>
        <w:rPr>
          <w:rFonts w:hint="eastAsia" w:ascii="微软雅黑" w:hAnsi="微软雅黑" w:eastAsia="微软雅黑" w:cs="微软雅黑"/>
          <w:color w:val="auto"/>
          <w:sz w:val="28"/>
          <w:szCs w:val="28"/>
          <w:highlight w:val="none"/>
          <w:lang w:bidi="ar"/>
        </w:rPr>
        <w:t xml:space="preserve">7. </w:t>
      </w:r>
      <w:bookmarkStart w:id="0" w:name="OLE_LINK1"/>
      <w:r>
        <w:rPr>
          <w:rFonts w:hint="eastAsia" w:ascii="微软雅黑" w:hAnsi="微软雅黑" w:eastAsia="微软雅黑" w:cs="微软雅黑"/>
          <w:color w:val="auto"/>
          <w:sz w:val="28"/>
          <w:szCs w:val="28"/>
          <w:highlight w:val="none"/>
          <w:lang w:bidi="ar"/>
        </w:rPr>
        <w:t>项目承担单位不配合开展项目经费审计的</w:t>
      </w:r>
      <w:bookmarkEnd w:id="0"/>
      <w:r>
        <w:rPr>
          <w:rFonts w:hint="eastAsia" w:ascii="微软雅黑" w:hAnsi="微软雅黑" w:eastAsia="微软雅黑" w:cs="微软雅黑"/>
          <w:color w:val="auto"/>
          <w:sz w:val="28"/>
          <w:szCs w:val="28"/>
          <w:highlight w:val="none"/>
          <w:lang w:bidi="ar"/>
        </w:rPr>
        <w:t>；</w:t>
      </w:r>
    </w:p>
    <w:p w14:paraId="3FADCA0D">
      <w:pPr>
        <w:pStyle w:val="7"/>
        <w:adjustRightInd w:val="0"/>
        <w:snapToGrid w:val="0"/>
        <w:spacing w:before="0" w:beforeAutospacing="0" w:after="0" w:afterAutospacing="0" w:line="360" w:lineRule="auto"/>
        <w:ind w:firstLine="560" w:firstLineChars="200"/>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8. 项目合同约定的其他情形。</w:t>
      </w:r>
    </w:p>
    <w:p w14:paraId="07C5B525">
      <w:pPr>
        <w:pStyle w:val="7"/>
        <w:adjustRightInd w:val="0"/>
        <w:snapToGrid w:val="0"/>
        <w:spacing w:before="0" w:beforeAutospacing="0" w:after="0" w:afterAutospacing="0" w:line="360" w:lineRule="auto"/>
        <w:ind w:firstLine="561" w:firstLineChars="200"/>
        <w:rPr>
          <w:rFonts w:hint="eastAsia" w:ascii="微软雅黑" w:hAnsi="微软雅黑" w:eastAsia="微软雅黑" w:cs="微软雅黑"/>
          <w:color w:val="auto"/>
          <w:sz w:val="28"/>
          <w:szCs w:val="28"/>
          <w:highlight w:val="none"/>
        </w:rPr>
      </w:pPr>
      <w:r>
        <w:rPr>
          <w:rStyle w:val="10"/>
          <w:rFonts w:hint="eastAsia" w:ascii="微软雅黑" w:hAnsi="微软雅黑" w:eastAsia="微软雅黑" w:cs="微软雅黑"/>
          <w:bCs/>
          <w:color w:val="auto"/>
          <w:sz w:val="28"/>
          <w:szCs w:val="28"/>
          <w:highlight w:val="none"/>
        </w:rPr>
        <w:t>第九条</w:t>
      </w:r>
      <w:r>
        <w:rPr>
          <w:rFonts w:hint="eastAsia" w:ascii="微软雅黑" w:hAnsi="微软雅黑" w:eastAsia="微软雅黑" w:cs="微软雅黑"/>
          <w:color w:val="auto"/>
          <w:sz w:val="28"/>
          <w:szCs w:val="28"/>
          <w:highlight w:val="none"/>
        </w:rPr>
        <w:t>  项目验收管理</w:t>
      </w:r>
    </w:p>
    <w:p w14:paraId="5455166A">
      <w:pPr>
        <w:pStyle w:val="7"/>
        <w:adjustRightInd w:val="0"/>
        <w:snapToGrid w:val="0"/>
        <w:spacing w:before="0" w:beforeAutospacing="0" w:after="0" w:afterAutospacing="0" w:line="360" w:lineRule="auto"/>
        <w:ind w:firstLine="560" w:firstLineChars="200"/>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（一）验收申请。项目主持单位应在合同完成期限前1个月内向市农业科技服务中心提出项目验收申请。</w:t>
      </w:r>
    </w:p>
    <w:p w14:paraId="64ED3523">
      <w:pPr>
        <w:pStyle w:val="7"/>
        <w:adjustRightInd w:val="0"/>
        <w:snapToGrid w:val="0"/>
        <w:spacing w:before="0" w:beforeAutospacing="0" w:after="0" w:afterAutospacing="0" w:line="360" w:lineRule="auto"/>
        <w:ind w:firstLine="560" w:firstLineChars="200"/>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项目承担单位应在合同期满后的3个月内提交验收材料，并对提供的验收材料和相关数据的真实性、准确性、完整性、原创性和唯一性负责。对于多个单位联合承担的项目，协作单位应在主持单位的统一组织下，配合做好相关验收材料的准备工作。</w:t>
      </w:r>
    </w:p>
    <w:p w14:paraId="69FFC3F8">
      <w:pPr>
        <w:pStyle w:val="7"/>
        <w:adjustRightInd w:val="0"/>
        <w:snapToGrid w:val="0"/>
        <w:spacing w:before="0" w:beforeAutospacing="0" w:after="0" w:afterAutospacing="0" w:line="360" w:lineRule="auto"/>
        <w:ind w:firstLine="560" w:firstLineChars="200"/>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二）组织验收。项目验收采用综合绩效评价的方法，并可根据需要采取实地考察、现场测试、功能演示、查阅资料、会议审查等一种或多种方式进行。市农业科技服务中心收到项目验收申请后，委托具有资质的会计师事务所对项目资金使用情况进行财务审计。项目承担单位应当按照审计要求，在</w:t>
      </w:r>
      <w:r>
        <w:rPr>
          <w:rFonts w:hint="eastAsia" w:ascii="微软雅黑" w:hAnsi="微软雅黑" w:eastAsia="微软雅黑" w:cs="微软雅黑"/>
          <w:color w:val="auto"/>
          <w:sz w:val="28"/>
          <w:szCs w:val="28"/>
          <w:highlight w:val="none"/>
          <w:lang w:val="en-US" w:eastAsia="zh-CN"/>
        </w:rPr>
        <w:t>收到审计通知后</w:t>
      </w:r>
      <w:r>
        <w:rPr>
          <w:rFonts w:hint="eastAsia" w:ascii="微软雅黑" w:hAnsi="微软雅黑" w:eastAsia="微软雅黑" w:cs="微软雅黑"/>
          <w:color w:val="auto"/>
          <w:sz w:val="28"/>
          <w:szCs w:val="28"/>
          <w:highlight w:val="none"/>
        </w:rPr>
        <w:t>3个月内配合完成项目资金审计。</w:t>
      </w:r>
    </w:p>
    <w:p w14:paraId="384BE45D">
      <w:pPr>
        <w:pStyle w:val="3"/>
        <w:adjustRightInd w:val="0"/>
        <w:snapToGrid w:val="0"/>
        <w:spacing w:line="360" w:lineRule="auto"/>
        <w:ind w:firstLine="560" w:firstLineChars="200"/>
        <w:rPr>
          <w:rFonts w:ascii="仿宋" w:hAnsi="仿宋" w:cs="仿宋"/>
          <w:color w:val="auto"/>
          <w:sz w:val="28"/>
          <w:szCs w:val="28"/>
          <w:highlight w:val="none"/>
        </w:rPr>
      </w:pPr>
      <w:r>
        <w:rPr>
          <w:rFonts w:hint="eastAsia" w:ascii="微软雅黑" w:hAnsi="微软雅黑" w:eastAsia="微软雅黑" w:cs="微软雅黑"/>
          <w:color w:val="auto"/>
          <w:sz w:val="28"/>
          <w:szCs w:val="28"/>
          <w:highlight w:val="none"/>
        </w:rPr>
        <w:t>市农业科技服务中心应对验收材料进行审查，对存在问题的</w:t>
      </w:r>
      <w:r>
        <w:rPr>
          <w:rFonts w:hint="eastAsia" w:ascii="微软雅黑" w:hAnsi="微软雅黑" w:eastAsia="微软雅黑" w:cs="微软雅黑"/>
          <w:color w:val="auto"/>
          <w:sz w:val="28"/>
          <w:szCs w:val="28"/>
          <w:highlight w:val="none"/>
          <w:lang w:val="en-US" w:eastAsia="zh-CN"/>
        </w:rPr>
        <w:t>及时反馈</w:t>
      </w:r>
      <w:r>
        <w:rPr>
          <w:rFonts w:hint="eastAsia" w:ascii="微软雅黑" w:hAnsi="微软雅黑" w:eastAsia="微软雅黑" w:cs="微软雅黑"/>
          <w:color w:val="auto"/>
          <w:sz w:val="28"/>
          <w:szCs w:val="28"/>
          <w:highlight w:val="none"/>
        </w:rPr>
        <w:t>，项目承担单位应</w:t>
      </w:r>
      <w:r>
        <w:rPr>
          <w:rFonts w:hint="eastAsia" w:ascii="微软雅黑" w:hAnsi="微软雅黑" w:eastAsia="微软雅黑" w:cs="微软雅黑"/>
          <w:color w:val="auto"/>
          <w:sz w:val="28"/>
          <w:szCs w:val="28"/>
          <w:highlight w:val="none"/>
          <w:lang w:val="en-US" w:eastAsia="zh-CN"/>
        </w:rPr>
        <w:t>在1个月内</w:t>
      </w:r>
      <w:r>
        <w:rPr>
          <w:rFonts w:hint="eastAsia" w:ascii="微软雅黑" w:hAnsi="微软雅黑" w:eastAsia="微软雅黑" w:cs="微软雅黑"/>
          <w:color w:val="auto"/>
          <w:sz w:val="28"/>
          <w:szCs w:val="28"/>
          <w:highlight w:val="none"/>
        </w:rPr>
        <w:t>提交整改材料。</w:t>
      </w:r>
      <w:r>
        <w:rPr>
          <w:rFonts w:hint="eastAsia" w:ascii="微软雅黑" w:hAnsi="微软雅黑" w:eastAsia="微软雅黑" w:cs="微软雅黑"/>
          <w:color w:val="auto"/>
          <w:kern w:val="0"/>
          <w:sz w:val="28"/>
          <w:szCs w:val="28"/>
          <w:highlight w:val="none"/>
          <w:lang w:bidi="ar"/>
        </w:rPr>
        <w:t>项目综合绩效评价工作一般在项目完成审计后6个月内完成。</w:t>
      </w:r>
    </w:p>
    <w:p w14:paraId="02031F93">
      <w:pPr>
        <w:pStyle w:val="7"/>
        <w:adjustRightInd w:val="0"/>
        <w:snapToGrid w:val="0"/>
        <w:spacing w:before="0" w:beforeAutospacing="0" w:after="0" w:afterAutospacing="0" w:line="360" w:lineRule="auto"/>
        <w:ind w:firstLine="560" w:firstLineChars="200"/>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（三）验收评定。项目验收结论分为通过验收和未通过验收。</w:t>
      </w:r>
    </w:p>
    <w:p w14:paraId="424C1D3D">
      <w:pPr>
        <w:pStyle w:val="7"/>
        <w:adjustRightInd w:val="0"/>
        <w:snapToGrid w:val="0"/>
        <w:spacing w:before="0" w:beforeAutospacing="0" w:after="0" w:afterAutospacing="0" w:line="360" w:lineRule="auto"/>
        <w:ind w:firstLine="560" w:firstLineChars="200"/>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1. 评定为通过验收，应同时具备以下条件：</w:t>
      </w:r>
    </w:p>
    <w:p w14:paraId="72AF656C">
      <w:pPr>
        <w:pStyle w:val="7"/>
        <w:adjustRightInd w:val="0"/>
        <w:snapToGrid w:val="0"/>
        <w:spacing w:before="0" w:beforeAutospacing="0" w:after="0" w:afterAutospacing="0" w:line="360" w:lineRule="auto"/>
        <w:ind w:firstLine="560" w:firstLineChars="200"/>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（1）按期提交验收申请及验收材料；</w:t>
      </w:r>
    </w:p>
    <w:p w14:paraId="0E60CBC0">
      <w:pPr>
        <w:pStyle w:val="7"/>
        <w:adjustRightInd w:val="0"/>
        <w:snapToGrid w:val="0"/>
        <w:spacing w:before="0" w:beforeAutospacing="0" w:after="0" w:afterAutospacing="0" w:line="360" w:lineRule="auto"/>
        <w:ind w:firstLine="560" w:firstLineChars="200"/>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（2）提供的验收材料、数据等齐全、真实；</w:t>
      </w:r>
    </w:p>
    <w:p w14:paraId="3A534BF3">
      <w:pPr>
        <w:pStyle w:val="7"/>
        <w:adjustRightInd w:val="0"/>
        <w:snapToGrid w:val="0"/>
        <w:spacing w:before="0" w:beforeAutospacing="0" w:after="0" w:afterAutospacing="0" w:line="360" w:lineRule="auto"/>
        <w:ind w:firstLine="560" w:firstLineChars="200"/>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（3）全面完成合同规定的主要研究任务及考核指标；</w:t>
      </w:r>
    </w:p>
    <w:p w14:paraId="291AE5AC">
      <w:pPr>
        <w:pStyle w:val="7"/>
        <w:adjustRightInd w:val="0"/>
        <w:snapToGrid w:val="0"/>
        <w:spacing w:before="0" w:beforeAutospacing="0" w:after="0" w:afterAutospacing="0" w:line="360" w:lineRule="auto"/>
        <w:ind w:firstLine="560" w:firstLineChars="200"/>
        <w:rPr>
          <w:rFonts w:hint="eastAsia" w:ascii="微软雅黑" w:hAnsi="微软雅黑" w:eastAsia="微软雅黑" w:cs="微软雅黑"/>
          <w:color w:val="auto"/>
          <w:sz w:val="28"/>
          <w:szCs w:val="28"/>
          <w:highlight w:val="none"/>
          <w:lang w:bidi="ar"/>
        </w:rPr>
      </w:pPr>
      <w:r>
        <w:rPr>
          <w:rFonts w:hint="eastAsia" w:ascii="微软雅黑" w:hAnsi="微软雅黑" w:eastAsia="微软雅黑" w:cs="微软雅黑"/>
          <w:color w:val="auto"/>
          <w:sz w:val="28"/>
          <w:szCs w:val="28"/>
          <w:highlight w:val="none"/>
          <w:lang w:bidi="ar"/>
        </w:rPr>
        <w:t>（4）项目审计确认经费（含财政经费和配套经费）执行率不低于80%，或经费执行率低于80%，但</w:t>
      </w:r>
      <w:bookmarkStart w:id="1" w:name="OLE_LINK3"/>
      <w:r>
        <w:rPr>
          <w:rFonts w:hint="eastAsia" w:ascii="微软雅黑" w:hAnsi="微软雅黑" w:eastAsia="微软雅黑" w:cs="微软雅黑"/>
          <w:color w:val="auto"/>
          <w:sz w:val="28"/>
          <w:szCs w:val="28"/>
          <w:highlight w:val="none"/>
          <w:lang w:bidi="ar"/>
        </w:rPr>
        <w:t>存在客观原因</w:t>
      </w:r>
      <w:bookmarkEnd w:id="1"/>
      <w:r>
        <w:rPr>
          <w:rFonts w:hint="eastAsia" w:ascii="微软雅黑" w:hAnsi="微软雅黑" w:eastAsia="微软雅黑" w:cs="微软雅黑"/>
          <w:color w:val="auto"/>
          <w:sz w:val="28"/>
          <w:szCs w:val="28"/>
          <w:highlight w:val="none"/>
          <w:lang w:bidi="ar"/>
        </w:rPr>
        <w:t>，且经评估认可；</w:t>
      </w:r>
    </w:p>
    <w:p w14:paraId="06F3E66E">
      <w:pPr>
        <w:pStyle w:val="7"/>
        <w:adjustRightInd w:val="0"/>
        <w:snapToGrid w:val="0"/>
        <w:spacing w:before="0" w:beforeAutospacing="0" w:after="0" w:afterAutospacing="0" w:line="360" w:lineRule="auto"/>
        <w:ind w:firstLine="560" w:firstLineChars="200"/>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（5）项目资金审计中未发现截留、挪用资金等违反国家法律法规行为。</w:t>
      </w:r>
    </w:p>
    <w:p w14:paraId="5AD5EFB7">
      <w:pPr>
        <w:pStyle w:val="7"/>
        <w:adjustRightInd w:val="0"/>
        <w:snapToGrid w:val="0"/>
        <w:spacing w:before="0" w:beforeAutospacing="0" w:after="0" w:afterAutospacing="0" w:line="360" w:lineRule="auto"/>
        <w:ind w:firstLine="560" w:firstLineChars="200"/>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2. 存在下列情况之一，评定为未通过验收：</w:t>
      </w:r>
    </w:p>
    <w:p w14:paraId="05B1C2EA">
      <w:pPr>
        <w:pStyle w:val="7"/>
        <w:adjustRightInd w:val="0"/>
        <w:snapToGrid w:val="0"/>
        <w:spacing w:before="0" w:beforeAutospacing="0" w:after="0" w:afterAutospacing="0" w:line="360" w:lineRule="auto"/>
        <w:ind w:firstLine="560" w:firstLineChars="200"/>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（1）提供的验收材料、数据等不完整或不真实；</w:t>
      </w:r>
    </w:p>
    <w:p w14:paraId="1CCBF7EB">
      <w:pPr>
        <w:pStyle w:val="7"/>
        <w:adjustRightInd w:val="0"/>
        <w:snapToGrid w:val="0"/>
        <w:spacing w:before="0" w:beforeAutospacing="0" w:after="0" w:afterAutospacing="0" w:line="360" w:lineRule="auto"/>
        <w:ind w:firstLine="560" w:firstLineChars="200"/>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（2）项目资金审计中发现截留、挪用资金等违反国家法律法规行为；</w:t>
      </w:r>
    </w:p>
    <w:p w14:paraId="11069BA6">
      <w:pPr>
        <w:pStyle w:val="7"/>
        <w:adjustRightInd w:val="0"/>
        <w:snapToGrid w:val="0"/>
        <w:spacing w:before="0" w:beforeAutospacing="0" w:after="0" w:afterAutospacing="0" w:line="360" w:lineRule="auto"/>
        <w:ind w:firstLine="560" w:firstLineChars="200"/>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（3）未完成合同规定的主要研究任务或考核指标；</w:t>
      </w:r>
    </w:p>
    <w:p w14:paraId="17447FEC">
      <w:pPr>
        <w:pStyle w:val="7"/>
        <w:adjustRightInd w:val="0"/>
        <w:snapToGrid w:val="0"/>
        <w:spacing w:before="0" w:beforeAutospacing="0" w:after="0" w:afterAutospacing="0" w:line="360" w:lineRule="auto"/>
        <w:ind w:firstLine="560" w:firstLineChars="200"/>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（4）擅自更改项目合同规定的主持单位、协作单位、实施区域或考核指标等。</w:t>
      </w:r>
    </w:p>
    <w:p w14:paraId="71AC4C5A">
      <w:pPr>
        <w:pStyle w:val="7"/>
        <w:adjustRightInd w:val="0"/>
        <w:snapToGrid w:val="0"/>
        <w:spacing w:before="0" w:beforeAutospacing="0" w:after="0" w:afterAutospacing="0" w:line="360" w:lineRule="auto"/>
        <w:ind w:firstLine="560" w:firstLineChars="200"/>
        <w:rPr>
          <w:rFonts w:hint="eastAsia" w:ascii="微软雅黑" w:hAnsi="微软雅黑" w:eastAsia="微软雅黑" w:cs="微软雅黑"/>
          <w:color w:val="auto"/>
          <w:sz w:val="28"/>
          <w:szCs w:val="28"/>
          <w:highlight w:val="none"/>
          <w:lang w:bidi="ar"/>
        </w:rPr>
      </w:pPr>
      <w:r>
        <w:rPr>
          <w:rFonts w:hint="eastAsia" w:ascii="微软雅黑" w:hAnsi="微软雅黑" w:eastAsia="微软雅黑" w:cs="微软雅黑"/>
          <w:color w:val="auto"/>
          <w:sz w:val="28"/>
          <w:szCs w:val="28"/>
          <w:highlight w:val="none"/>
          <w:lang w:bidi="ar"/>
        </w:rPr>
        <w:t>（5）项目审计确认经费（含财政经费和配套经费）执行率低于80%且无正当理由的。</w:t>
      </w:r>
    </w:p>
    <w:p w14:paraId="09E3E964">
      <w:pPr>
        <w:pStyle w:val="7"/>
        <w:adjustRightInd w:val="0"/>
        <w:snapToGrid w:val="0"/>
        <w:spacing w:before="0" w:beforeAutospacing="0" w:after="0" w:afterAutospacing="0" w:line="360" w:lineRule="auto"/>
        <w:ind w:firstLine="560" w:firstLineChars="200"/>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（四）材料归档。项目承担单位应在综合绩效评价完成后1个月内向市农业科技服务中心提交验收证书、结余经费承诺书等归档材料，并在项目系统中上传工作总结。</w:t>
      </w:r>
    </w:p>
    <w:p w14:paraId="02CBD767">
      <w:pPr>
        <w:pStyle w:val="7"/>
        <w:adjustRightInd w:val="0"/>
        <w:snapToGrid w:val="0"/>
        <w:spacing w:before="0" w:beforeAutospacing="0" w:after="0" w:afterAutospacing="0" w:line="360" w:lineRule="auto"/>
        <w:ind w:firstLine="560" w:firstLineChars="200"/>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通过验收的项目，经市农业科技服务中心审核后报市农业农村委主管部门审批，由市农业农村委出具验收证书。</w:t>
      </w:r>
    </w:p>
    <w:p w14:paraId="79E25BFE">
      <w:pPr>
        <w:pStyle w:val="7"/>
        <w:adjustRightInd w:val="0"/>
        <w:snapToGrid w:val="0"/>
        <w:spacing w:before="0" w:beforeAutospacing="0" w:after="0" w:afterAutospacing="0" w:line="360" w:lineRule="auto"/>
        <w:ind w:firstLine="560" w:firstLineChars="200"/>
        <w:rPr>
          <w:rFonts w:hint="eastAsia" w:ascii="仿宋" w:hAnsi="仿宋" w:eastAsia="仿宋" w:cs="仿宋"/>
          <w:color w:val="auto"/>
          <w:sz w:val="28"/>
          <w:szCs w:val="28"/>
          <w:highlight w:val="none"/>
        </w:rPr>
      </w:pPr>
      <w:r>
        <w:rPr>
          <w:rFonts w:hint="eastAsia" w:ascii="微软雅黑" w:hAnsi="微软雅黑" w:eastAsia="微软雅黑" w:cs="微软雅黑"/>
          <w:color w:val="auto"/>
          <w:sz w:val="28"/>
          <w:szCs w:val="28"/>
          <w:highlight w:val="none"/>
        </w:rPr>
        <w:t>（五）成果管理。项目形成的研究成果，包括论文、专著、样机、视频等，应标注受上海市农业科技创新项目资助。项目形成的知识产权等研究成果的归属、使用和转移转化，按照国家知识产权法律、法规执行，并在项目合同书中明确知识产权的归属。项目验收前承担单位应在项目系统中进行成果填报。</w:t>
      </w:r>
    </w:p>
    <w:p w14:paraId="024917EF">
      <w:pPr>
        <w:pStyle w:val="7"/>
        <w:adjustRightInd w:val="0"/>
        <w:snapToGrid w:val="0"/>
        <w:spacing w:before="0" w:beforeAutospacing="0" w:after="0" w:afterAutospacing="0" w:line="360" w:lineRule="auto"/>
        <w:ind w:firstLine="560" w:firstLineChars="200"/>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依法取得</w:t>
      </w:r>
      <w:r>
        <w:rPr>
          <w:rFonts w:hint="eastAsia" w:ascii="微软雅黑" w:hAnsi="微软雅黑" w:eastAsia="微软雅黑" w:cs="微软雅黑"/>
          <w:color w:val="auto"/>
          <w:sz w:val="28"/>
          <w:szCs w:val="28"/>
          <w:highlight w:val="none"/>
          <w:lang w:val="en-US" w:eastAsia="zh-CN"/>
        </w:rPr>
        <w:t>知识产权等项目成果</w:t>
      </w:r>
      <w:r>
        <w:rPr>
          <w:rFonts w:hint="eastAsia" w:ascii="微软雅黑" w:hAnsi="微软雅黑" w:eastAsia="微软雅黑" w:cs="微软雅黑"/>
          <w:color w:val="auto"/>
          <w:sz w:val="28"/>
          <w:szCs w:val="28"/>
          <w:highlight w:val="none"/>
        </w:rPr>
        <w:t>的项目承担单位，应积极应用和有序推广项目成果，促进技术交易和成果转化。鼓励通过验收的项目承担单位按《上海市科技成果登记指南》进行成果登记。成果转化后，及时在项目系统中填报成果转化信息。</w:t>
      </w:r>
    </w:p>
    <w:p w14:paraId="76C17127">
      <w:pPr>
        <w:pStyle w:val="7"/>
        <w:adjustRightInd w:val="0"/>
        <w:snapToGrid w:val="0"/>
        <w:spacing w:before="0" w:beforeAutospacing="0" w:after="0" w:afterAutospacing="0" w:line="360" w:lineRule="auto"/>
        <w:ind w:firstLine="560" w:firstLineChars="200"/>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项目验收两年后，市农业农村委将委托专业机构开展项目绩效后评价，绩效后评价结果将作为后续项目立项的重要参考依据之一。</w:t>
      </w:r>
    </w:p>
    <w:p w14:paraId="764FEDF6">
      <w:pPr>
        <w:pStyle w:val="7"/>
        <w:adjustRightInd w:val="0"/>
        <w:snapToGrid w:val="0"/>
        <w:spacing w:before="0" w:beforeAutospacing="0" w:after="0" w:afterAutospacing="0" w:line="360" w:lineRule="auto"/>
        <w:ind w:firstLine="561" w:firstLineChars="200"/>
        <w:rPr>
          <w:rFonts w:hint="eastAsia" w:ascii="微软雅黑" w:hAnsi="微软雅黑" w:eastAsia="微软雅黑" w:cs="微软雅黑"/>
          <w:color w:val="auto"/>
          <w:sz w:val="28"/>
          <w:szCs w:val="28"/>
          <w:highlight w:val="none"/>
        </w:rPr>
      </w:pPr>
      <w:r>
        <w:rPr>
          <w:rStyle w:val="10"/>
          <w:rFonts w:hint="eastAsia" w:ascii="微软雅黑" w:hAnsi="微软雅黑" w:eastAsia="微软雅黑" w:cs="微软雅黑"/>
          <w:bCs/>
          <w:color w:val="auto"/>
          <w:sz w:val="28"/>
          <w:szCs w:val="28"/>
          <w:highlight w:val="none"/>
        </w:rPr>
        <w:t>第四章  项目资金管理</w:t>
      </w:r>
    </w:p>
    <w:p w14:paraId="64785CF0">
      <w:pPr>
        <w:pStyle w:val="7"/>
        <w:adjustRightInd w:val="0"/>
        <w:snapToGrid w:val="0"/>
        <w:spacing w:before="0" w:beforeAutospacing="0" w:after="0" w:afterAutospacing="0" w:line="360" w:lineRule="auto"/>
        <w:ind w:firstLine="561" w:firstLineChars="200"/>
        <w:rPr>
          <w:rFonts w:hint="eastAsia" w:ascii="微软雅黑" w:hAnsi="微软雅黑" w:eastAsia="微软雅黑" w:cs="微软雅黑"/>
          <w:color w:val="auto"/>
          <w:sz w:val="28"/>
          <w:szCs w:val="28"/>
          <w:highlight w:val="none"/>
        </w:rPr>
      </w:pPr>
      <w:r>
        <w:rPr>
          <w:rStyle w:val="10"/>
          <w:rFonts w:hint="eastAsia" w:ascii="微软雅黑" w:hAnsi="微软雅黑" w:eastAsia="微软雅黑" w:cs="微软雅黑"/>
          <w:bCs/>
          <w:color w:val="auto"/>
          <w:sz w:val="28"/>
          <w:szCs w:val="28"/>
          <w:highlight w:val="none"/>
        </w:rPr>
        <w:t>第十条</w:t>
      </w:r>
      <w:r>
        <w:rPr>
          <w:rFonts w:hint="eastAsia" w:ascii="微软雅黑" w:hAnsi="微软雅黑" w:eastAsia="微软雅黑" w:cs="微软雅黑"/>
          <w:color w:val="auto"/>
          <w:sz w:val="28"/>
          <w:szCs w:val="28"/>
          <w:highlight w:val="none"/>
        </w:rPr>
        <w:t>  </w:t>
      </w:r>
      <w:r>
        <w:rPr>
          <w:rFonts w:hint="eastAsia" w:ascii="微软雅黑" w:hAnsi="微软雅黑" w:eastAsia="微软雅黑" w:cs="微软雅黑"/>
          <w:color w:val="auto"/>
          <w:sz w:val="28"/>
          <w:szCs w:val="28"/>
          <w:highlight w:val="none"/>
          <w:lang w:eastAsia="zh-CN"/>
        </w:rPr>
        <w:t>市农业农村委</w:t>
      </w:r>
      <w:r>
        <w:rPr>
          <w:rFonts w:hint="eastAsia" w:ascii="微软雅黑" w:hAnsi="微软雅黑" w:eastAsia="微软雅黑" w:cs="微软雅黑"/>
          <w:color w:val="auto"/>
          <w:sz w:val="28"/>
          <w:szCs w:val="28"/>
          <w:highlight w:val="none"/>
        </w:rPr>
        <w:t>在项目立项后核定预算，对实施周期在一年以上的项目，建立跨年度预算平衡机制</w:t>
      </w:r>
      <w:r>
        <w:rPr>
          <w:rFonts w:hint="eastAsia" w:ascii="微软雅黑" w:hAnsi="微软雅黑" w:eastAsia="微软雅黑" w:cs="微软雅黑"/>
          <w:color w:val="auto"/>
          <w:sz w:val="28"/>
          <w:szCs w:val="28"/>
          <w:highlight w:val="none"/>
          <w:lang w:eastAsia="zh-CN"/>
        </w:rPr>
        <w:t>，</w:t>
      </w:r>
      <w:r>
        <w:rPr>
          <w:rFonts w:hint="eastAsia" w:ascii="微软雅黑" w:hAnsi="微软雅黑" w:eastAsia="微软雅黑" w:cs="微软雅黑"/>
          <w:color w:val="auto"/>
          <w:sz w:val="28"/>
          <w:szCs w:val="28"/>
          <w:highlight w:val="none"/>
        </w:rPr>
        <w:t>按照一次核定总量、分年安排预算的原则，安排项目资金。</w:t>
      </w:r>
      <w:r>
        <w:rPr>
          <w:rFonts w:hint="eastAsia" w:ascii="微软雅黑" w:hAnsi="微软雅黑" w:eastAsia="微软雅黑" w:cs="微软雅黑"/>
          <w:color w:val="auto"/>
          <w:sz w:val="28"/>
          <w:szCs w:val="28"/>
          <w:highlight w:val="none"/>
          <w:lang w:eastAsia="zh-CN"/>
        </w:rPr>
        <w:t>按照</w:t>
      </w:r>
      <w:r>
        <w:rPr>
          <w:rFonts w:hint="eastAsia" w:ascii="微软雅黑" w:hAnsi="微软雅黑" w:eastAsia="微软雅黑" w:cs="微软雅黑"/>
          <w:color w:val="auto"/>
          <w:sz w:val="28"/>
          <w:szCs w:val="28"/>
          <w:highlight w:val="none"/>
          <w:lang w:val="en-US" w:eastAsia="zh-CN"/>
        </w:rPr>
        <w:t>年度预算</w:t>
      </w:r>
      <w:r>
        <w:rPr>
          <w:rFonts w:hint="eastAsia" w:ascii="微软雅黑" w:hAnsi="微软雅黑" w:eastAsia="微软雅黑" w:cs="微软雅黑"/>
          <w:color w:val="auto"/>
          <w:sz w:val="28"/>
          <w:szCs w:val="28"/>
          <w:highlight w:val="none"/>
          <w:lang w:eastAsia="zh-CN"/>
        </w:rPr>
        <w:t>确定的拨款计划，</w:t>
      </w:r>
      <w:r>
        <w:rPr>
          <w:rFonts w:hint="eastAsia" w:ascii="微软雅黑" w:hAnsi="微软雅黑" w:eastAsia="微软雅黑" w:cs="微软雅黑"/>
          <w:color w:val="auto"/>
          <w:sz w:val="28"/>
          <w:szCs w:val="28"/>
          <w:highlight w:val="none"/>
        </w:rPr>
        <w:t>项目立项</w:t>
      </w:r>
      <w:r>
        <w:rPr>
          <w:rFonts w:hint="eastAsia" w:ascii="微软雅黑" w:hAnsi="微软雅黑" w:eastAsia="微软雅黑" w:cs="微软雅黑"/>
          <w:color w:val="auto"/>
          <w:sz w:val="28"/>
          <w:szCs w:val="28"/>
          <w:highlight w:val="none"/>
          <w:lang w:eastAsia="zh-CN"/>
        </w:rPr>
        <w:t>当年，财政</w:t>
      </w:r>
      <w:r>
        <w:rPr>
          <w:rFonts w:hint="eastAsia" w:ascii="微软雅黑" w:hAnsi="微软雅黑" w:eastAsia="微软雅黑" w:cs="微软雅黑"/>
          <w:color w:val="auto"/>
          <w:sz w:val="28"/>
          <w:szCs w:val="28"/>
          <w:highlight w:val="none"/>
        </w:rPr>
        <w:t>资金拨付比例不超过50%，后续根据项目实施进度</w:t>
      </w:r>
      <w:r>
        <w:rPr>
          <w:rFonts w:hint="eastAsia" w:ascii="微软雅黑" w:hAnsi="微软雅黑" w:eastAsia="微软雅黑" w:cs="微软雅黑"/>
          <w:color w:val="auto"/>
          <w:sz w:val="28"/>
          <w:szCs w:val="28"/>
          <w:highlight w:val="none"/>
          <w:lang w:eastAsia="zh-CN"/>
        </w:rPr>
        <w:t>，</w:t>
      </w:r>
      <w:r>
        <w:rPr>
          <w:rFonts w:hint="eastAsia" w:ascii="微软雅黑" w:hAnsi="微软雅黑" w:eastAsia="微软雅黑" w:cs="微软雅黑"/>
          <w:color w:val="auto"/>
          <w:sz w:val="28"/>
          <w:szCs w:val="28"/>
          <w:highlight w:val="none"/>
        </w:rPr>
        <w:t>按年度合理安排资金拨付。</w:t>
      </w:r>
    </w:p>
    <w:p w14:paraId="54248899">
      <w:pPr>
        <w:tabs>
          <w:tab w:val="left" w:pos="4253"/>
        </w:tabs>
        <w:adjustRightInd w:val="0"/>
        <w:snapToGrid w:val="0"/>
        <w:spacing w:line="360" w:lineRule="auto"/>
        <w:ind w:firstLine="560" w:firstLineChars="200"/>
        <w:outlineLvl w:val="4"/>
        <w:rPr>
          <w:rFonts w:ascii="仿宋_GB2312" w:hAnsi="仿宋_GB2312" w:eastAsia="微软雅黑" w:cs="仿宋_GB2312"/>
          <w:color w:val="auto"/>
          <w:sz w:val="28"/>
          <w:szCs w:val="28"/>
          <w:highlight w:val="none"/>
        </w:rPr>
      </w:pPr>
      <w:r>
        <w:rPr>
          <w:rFonts w:hint="eastAsia" w:ascii="微软雅黑" w:hAnsi="微软雅黑" w:eastAsia="微软雅黑" w:cs="微软雅黑"/>
          <w:color w:val="auto"/>
          <w:kern w:val="0"/>
          <w:sz w:val="28"/>
          <w:szCs w:val="28"/>
          <w:highlight w:val="none"/>
          <w:lang w:bidi="ar"/>
        </w:rPr>
        <w:t>企业主持的联合育种攻关、产业提升</w:t>
      </w:r>
      <w:r>
        <w:rPr>
          <w:rFonts w:hint="eastAsia" w:ascii="微软雅黑" w:hAnsi="微软雅黑" w:eastAsia="微软雅黑" w:cs="微软雅黑"/>
          <w:color w:val="auto"/>
          <w:kern w:val="0"/>
          <w:sz w:val="28"/>
          <w:szCs w:val="28"/>
          <w:highlight w:val="none"/>
          <w:lang w:eastAsia="zh-CN" w:bidi="ar"/>
        </w:rPr>
        <w:t>、应用场景、关键核心技术攻关</w:t>
      </w:r>
      <w:r>
        <w:rPr>
          <w:rFonts w:hint="eastAsia" w:ascii="微软雅黑" w:hAnsi="微软雅黑" w:eastAsia="微软雅黑" w:cs="微软雅黑"/>
          <w:color w:val="auto"/>
          <w:kern w:val="0"/>
          <w:sz w:val="28"/>
          <w:szCs w:val="28"/>
          <w:highlight w:val="none"/>
          <w:lang w:bidi="ar"/>
        </w:rPr>
        <w:t>等资金量大的农业科技创新项目，企业需配套资金，配套资金额度不低于财政支持资金。以“揭榜挂帅”为组织方式的项目，技术需求方应按照指南要求，投入相应的项目经费。</w:t>
      </w:r>
    </w:p>
    <w:p w14:paraId="1C493D55">
      <w:pPr>
        <w:pStyle w:val="7"/>
        <w:adjustRightInd w:val="0"/>
        <w:snapToGrid w:val="0"/>
        <w:spacing w:before="0" w:beforeAutospacing="0" w:after="0" w:afterAutospacing="0" w:line="360" w:lineRule="auto"/>
        <w:ind w:firstLine="561" w:firstLineChars="200"/>
        <w:rPr>
          <w:rFonts w:hint="eastAsia" w:ascii="微软雅黑" w:hAnsi="微软雅黑" w:eastAsia="微软雅黑" w:cs="微软雅黑"/>
          <w:color w:val="auto"/>
          <w:sz w:val="28"/>
          <w:szCs w:val="28"/>
          <w:highlight w:val="none"/>
        </w:rPr>
      </w:pPr>
      <w:r>
        <w:rPr>
          <w:rStyle w:val="10"/>
          <w:rFonts w:hint="eastAsia" w:ascii="微软雅黑" w:hAnsi="微软雅黑" w:eastAsia="微软雅黑" w:cs="微软雅黑"/>
          <w:bCs/>
          <w:color w:val="auto"/>
          <w:sz w:val="28"/>
          <w:szCs w:val="28"/>
          <w:highlight w:val="none"/>
        </w:rPr>
        <w:t>第十一条</w:t>
      </w:r>
      <w:r>
        <w:rPr>
          <w:rFonts w:hint="eastAsia" w:ascii="微软雅黑" w:hAnsi="微软雅黑" w:eastAsia="微软雅黑" w:cs="微软雅黑"/>
          <w:color w:val="auto"/>
          <w:sz w:val="28"/>
          <w:szCs w:val="28"/>
          <w:highlight w:val="none"/>
        </w:rPr>
        <w:t>  资金</w:t>
      </w:r>
      <w:r>
        <w:rPr>
          <w:rFonts w:hint="eastAsia" w:ascii="微软雅黑" w:hAnsi="微软雅黑" w:eastAsia="微软雅黑" w:cs="微软雅黑"/>
          <w:color w:val="auto"/>
          <w:sz w:val="28"/>
          <w:szCs w:val="28"/>
          <w:highlight w:val="none"/>
          <w:lang w:val="en-US" w:eastAsia="zh-CN"/>
        </w:rPr>
        <w:t>列</w:t>
      </w:r>
      <w:r>
        <w:rPr>
          <w:rFonts w:hint="eastAsia" w:ascii="微软雅黑" w:hAnsi="微软雅黑" w:eastAsia="微软雅黑" w:cs="微软雅黑"/>
          <w:color w:val="auto"/>
          <w:sz w:val="28"/>
          <w:szCs w:val="28"/>
          <w:highlight w:val="none"/>
        </w:rPr>
        <w:t>支范围</w:t>
      </w:r>
    </w:p>
    <w:p w14:paraId="1A033672">
      <w:pPr>
        <w:pStyle w:val="7"/>
        <w:adjustRightInd w:val="0"/>
        <w:snapToGrid w:val="0"/>
        <w:spacing w:before="0" w:beforeAutospacing="0" w:after="0" w:afterAutospacing="0" w:line="360" w:lineRule="auto"/>
        <w:ind w:firstLine="560" w:firstLineChars="200"/>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农业科技创新项目资金预算由直接费用和间接费用组成。</w:t>
      </w:r>
    </w:p>
    <w:p w14:paraId="425FE2E4">
      <w:pPr>
        <w:pStyle w:val="7"/>
        <w:adjustRightInd w:val="0"/>
        <w:snapToGrid w:val="0"/>
        <w:spacing w:before="0" w:beforeAutospacing="0" w:after="0" w:afterAutospacing="0" w:line="360" w:lineRule="auto"/>
        <w:ind w:firstLine="560" w:firstLineChars="200"/>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（一）直接费用。是指在项目实施过程中发生的与之直接相关的费用，主要包括：</w:t>
      </w:r>
    </w:p>
    <w:p w14:paraId="331A8B10">
      <w:pPr>
        <w:pStyle w:val="7"/>
        <w:adjustRightInd w:val="0"/>
        <w:snapToGrid w:val="0"/>
        <w:spacing w:before="0" w:beforeAutospacing="0" w:after="0" w:afterAutospacing="0" w:line="360" w:lineRule="auto"/>
        <w:ind w:firstLine="560" w:firstLineChars="200"/>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1. 设备费：是指在项目实施过程中购置或试制专用仪器设备，对现有仪器设备进行升级改造，以及租赁外单位仪器设备而发生的费用。计算类仪器设备和软件工具可在设备费科目列支。应当合理安排设备购置，鼓励开放共享、自主研制、租赁专用仪器设备以及对现有仪器设备进行升级改造，避免重复购置。对于使用专项经费购置的单台/套/件价格在50万元以上的设备，应当按照本市新购大型科学仪器设施联合评议的有关规定执行。</w:t>
      </w:r>
    </w:p>
    <w:p w14:paraId="1A99B318">
      <w:pPr>
        <w:pStyle w:val="7"/>
        <w:adjustRightInd w:val="0"/>
        <w:snapToGrid w:val="0"/>
        <w:spacing w:before="0" w:beforeAutospacing="0" w:after="0" w:afterAutospacing="0" w:line="360" w:lineRule="auto"/>
        <w:ind w:firstLine="560" w:firstLineChars="200"/>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2. 业务费：是指在项目实施过程中消耗的各种材料、辅助材料等低值易耗品的采购、运输、装卸、整理等费用，发生的测试化验加工、燃料动力、出版/文献/信息传播/知识产权事务、会议/差旅/国际合作交流等费用。具体支出内容可包括：</w:t>
      </w:r>
    </w:p>
    <w:p w14:paraId="4908D51F">
      <w:pPr>
        <w:pStyle w:val="7"/>
        <w:adjustRightInd w:val="0"/>
        <w:snapToGrid w:val="0"/>
        <w:spacing w:before="0" w:beforeAutospacing="0" w:after="0" w:afterAutospacing="0" w:line="360" w:lineRule="auto"/>
        <w:ind w:firstLine="560" w:firstLineChars="200"/>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（1）材料费：是指在项目实施过程中需要消耗的各种原材料、辅助材料、试剂等低值易耗品、实验动植物、元器件、部件、外购件、包装物等采购、运输、装卸、整理等费用。</w:t>
      </w:r>
    </w:p>
    <w:p w14:paraId="36551B4C">
      <w:pPr>
        <w:pStyle w:val="7"/>
        <w:adjustRightInd w:val="0"/>
        <w:snapToGrid w:val="0"/>
        <w:spacing w:before="0" w:beforeAutospacing="0" w:after="0" w:afterAutospacing="0" w:line="360" w:lineRule="auto"/>
        <w:ind w:firstLine="560" w:firstLineChars="200"/>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（2）测试化验加工费：是指在项目实施过程中委托外单位（包括项目承担单位内部独立经济核算单位）开展与项目相关的检验、测试、设计、化验及加工等费用。</w:t>
      </w:r>
    </w:p>
    <w:p w14:paraId="23AF9AC2">
      <w:pPr>
        <w:pStyle w:val="7"/>
        <w:adjustRightInd w:val="0"/>
        <w:snapToGrid w:val="0"/>
        <w:spacing w:before="0" w:beforeAutospacing="0" w:after="0" w:afterAutospacing="0" w:line="360" w:lineRule="auto"/>
        <w:ind w:firstLine="560" w:firstLineChars="200"/>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（3）燃料动力费：是指在项目实施过程中直接使用的相关仪器设备、科学装置等运行发生的可单独计量的水、电、气、燃料消耗费用等。</w:t>
      </w:r>
    </w:p>
    <w:p w14:paraId="2BF8B989">
      <w:pPr>
        <w:pStyle w:val="7"/>
        <w:adjustRightInd w:val="0"/>
        <w:snapToGrid w:val="0"/>
        <w:spacing w:before="0" w:beforeAutospacing="0" w:after="0" w:afterAutospacing="0" w:line="360" w:lineRule="auto"/>
        <w:ind w:firstLine="560" w:firstLineChars="200"/>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4）差旅/会议/国际合作与交流费：是指在项目实施过程中为组织开展学术研讨、咨询论证，以及组织协调项目活动而发生的会议费用；开展科学实验（试验）、科学考察、业务调研、学术交流等所发生的城市间交通费、住宿费、伙食补助费和市内交通费；研究人员出国及外国专家来华开展科学技术交流与合作的费用。</w:t>
      </w:r>
    </w:p>
    <w:p w14:paraId="74E235F8">
      <w:pPr>
        <w:pStyle w:val="7"/>
        <w:adjustRightInd w:val="0"/>
        <w:snapToGrid w:val="0"/>
        <w:spacing w:before="0" w:beforeAutospacing="0" w:after="0" w:afterAutospacing="0" w:line="360" w:lineRule="auto"/>
        <w:ind w:firstLine="560" w:firstLineChars="200"/>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（5）出版/文献/信息传播/知识产权事务费：是指在项目实施过程中需要支付的出版费、资料购买费、专业软件购买费、文献检索费、专业通信费、专利申请及其他知识产权事务等费用。</w:t>
      </w:r>
    </w:p>
    <w:p w14:paraId="539148DD">
      <w:pPr>
        <w:pStyle w:val="7"/>
        <w:adjustRightInd w:val="0"/>
        <w:snapToGrid w:val="0"/>
        <w:spacing w:before="0" w:beforeAutospacing="0" w:after="0" w:afterAutospacing="0" w:line="360" w:lineRule="auto"/>
        <w:ind w:firstLine="560" w:firstLineChars="200"/>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3. 劳务费：是指在项目实施过程中直接支付或通过劳务派遣支付给参与项目的研究生、博士后、访问学者和项目聘用的研究人员、科研辅助人员等的劳务性费用（不含中介费、服务费等），以及支付给临时聘请的专家咨询、评审、验收的费用。</w:t>
      </w:r>
    </w:p>
    <w:p w14:paraId="71F0A98E">
      <w:pPr>
        <w:pStyle w:val="7"/>
        <w:adjustRightInd w:val="0"/>
        <w:snapToGrid w:val="0"/>
        <w:spacing w:before="0" w:beforeAutospacing="0" w:after="0" w:afterAutospacing="0" w:line="360" w:lineRule="auto"/>
        <w:ind w:firstLine="560" w:firstLineChars="200"/>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项目聘用等人员劳务费开支标准，参照本市科学研究和技术服务业从业人员平均工资水平，根据其在项目研究中承担的工作任务确定，其由单位缴纳的社会保险补助、住房公积金等可纳入劳务费科目开支。</w:t>
      </w:r>
    </w:p>
    <w:p w14:paraId="6FBA3B9E">
      <w:pPr>
        <w:pStyle w:val="7"/>
        <w:adjustRightInd w:val="0"/>
        <w:snapToGrid w:val="0"/>
        <w:spacing w:before="0" w:beforeAutospacing="0" w:after="0" w:afterAutospacing="0" w:line="360" w:lineRule="auto"/>
        <w:ind w:firstLine="560" w:firstLineChars="200"/>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支付给临时聘请的专家费用，不得支付给参与项目研究和管理的相关人员，其管理按照国家和本市有关规定执行。　</w:t>
      </w:r>
    </w:p>
    <w:p w14:paraId="02AF1D27">
      <w:pPr>
        <w:pStyle w:val="7"/>
        <w:adjustRightInd w:val="0"/>
        <w:snapToGrid w:val="0"/>
        <w:spacing w:before="0" w:beforeAutospacing="0" w:after="0" w:afterAutospacing="0" w:line="360" w:lineRule="auto"/>
        <w:ind w:firstLine="560" w:firstLineChars="200"/>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二）间接费用。是指项目承担单位在组织实施过程中发生的无法在直接费用中列支的相关费用。主要包括：为项目研究提供的房屋占用，日常水、电、气、暖消耗费，有关管理费用的补助支出，以及激励科研人员的绩效支出等。结合单位信用情况，间接费用实行总额控制，按照不超过项目直接费用扣除设备购置费后的40%进行核定。</w:t>
      </w:r>
    </w:p>
    <w:p w14:paraId="2AFE2CB1">
      <w:pPr>
        <w:pStyle w:val="7"/>
        <w:adjustRightInd w:val="0"/>
        <w:snapToGrid w:val="0"/>
        <w:spacing w:before="0" w:beforeAutospacing="0" w:after="0" w:afterAutospacing="0" w:line="360" w:lineRule="auto"/>
        <w:ind w:firstLine="560" w:firstLineChars="200"/>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间接费用应纳入单位财务统一管理，健全内部管理制度，统筹安排使用。绩效支出安排应当与科研人员在项目工作中的实际贡献挂钩。承担单位可将间接费用全部用于绩效支出，并向创新绩效突出的团队和个人倾斜。</w:t>
      </w:r>
    </w:p>
    <w:p w14:paraId="78B50E24">
      <w:pPr>
        <w:pStyle w:val="7"/>
        <w:adjustRightInd w:val="0"/>
        <w:snapToGrid w:val="0"/>
        <w:spacing w:before="0" w:beforeAutospacing="0" w:after="0" w:afterAutospacing="0" w:line="360" w:lineRule="auto"/>
        <w:ind w:firstLine="560" w:firstLineChars="200"/>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通过验收的项目，可以在预算范围内发放项目绩效；未通过验收的，不得发放项目绩效。</w:t>
      </w:r>
    </w:p>
    <w:p w14:paraId="3C228B96">
      <w:pPr>
        <w:tabs>
          <w:tab w:val="left" w:pos="4253"/>
        </w:tabs>
        <w:adjustRightInd w:val="0"/>
        <w:snapToGrid w:val="0"/>
        <w:spacing w:line="360" w:lineRule="auto"/>
        <w:ind w:firstLine="561" w:firstLineChars="200"/>
        <w:outlineLvl w:val="4"/>
        <w:rPr>
          <w:rFonts w:hint="eastAsia" w:ascii="仿宋_GB2312" w:hAnsi="仿宋_GB2312" w:eastAsia="仿宋_GB2312" w:cs="仿宋_GB2312"/>
          <w:color w:val="auto"/>
          <w:sz w:val="28"/>
          <w:szCs w:val="28"/>
          <w:highlight w:val="none"/>
        </w:rPr>
      </w:pPr>
      <w:r>
        <w:rPr>
          <w:rStyle w:val="10"/>
          <w:rFonts w:hint="eastAsia" w:ascii="微软雅黑" w:hAnsi="微软雅黑" w:eastAsia="微软雅黑" w:cs="微软雅黑"/>
          <w:bCs/>
          <w:color w:val="auto"/>
          <w:sz w:val="28"/>
          <w:szCs w:val="28"/>
          <w:highlight w:val="none"/>
        </w:rPr>
        <w:t>第十</w:t>
      </w:r>
      <w:r>
        <w:rPr>
          <w:rStyle w:val="10"/>
          <w:rFonts w:hint="eastAsia" w:ascii="微软雅黑" w:hAnsi="微软雅黑" w:eastAsia="微软雅黑" w:cs="微软雅黑"/>
          <w:bCs/>
          <w:color w:val="auto"/>
          <w:sz w:val="28"/>
          <w:szCs w:val="28"/>
          <w:highlight w:val="none"/>
          <w:lang w:eastAsia="zh-CN"/>
        </w:rPr>
        <w:t>二</w:t>
      </w:r>
      <w:r>
        <w:rPr>
          <w:rStyle w:val="10"/>
          <w:rFonts w:hint="eastAsia" w:ascii="微软雅黑" w:hAnsi="微软雅黑" w:eastAsia="微软雅黑" w:cs="微软雅黑"/>
          <w:bCs/>
          <w:color w:val="auto"/>
          <w:sz w:val="28"/>
          <w:szCs w:val="28"/>
          <w:highlight w:val="none"/>
        </w:rPr>
        <w:t>条</w:t>
      </w:r>
      <w:r>
        <w:rPr>
          <w:rFonts w:hint="eastAsia" w:ascii="微软雅黑" w:hAnsi="微软雅黑" w:eastAsia="微软雅黑" w:cs="微软雅黑"/>
          <w:color w:val="auto"/>
          <w:sz w:val="28"/>
          <w:szCs w:val="28"/>
          <w:highlight w:val="none"/>
        </w:rPr>
        <w:t>  </w:t>
      </w:r>
      <w:r>
        <w:rPr>
          <w:rFonts w:hint="eastAsia" w:ascii="微软雅黑" w:hAnsi="微软雅黑" w:eastAsia="微软雅黑" w:cs="微软雅黑"/>
          <w:color w:val="auto"/>
          <w:kern w:val="0"/>
          <w:sz w:val="28"/>
          <w:szCs w:val="28"/>
          <w:highlight w:val="none"/>
          <w:lang w:bidi="ar"/>
        </w:rPr>
        <w:t>项目承担单位应当按照政策相符性、目标相关性和经济合理性原则，科学、合理、真实、准确地编制预算，对设备费、业务费、劳务费预算应据实编制，不得简单按比例编制。直接费用中除50万元以上的设备费外，其他费用只提供基本测算说明，不需要提供明细。</w:t>
      </w:r>
    </w:p>
    <w:p w14:paraId="15F75B94">
      <w:pPr>
        <w:pStyle w:val="7"/>
        <w:adjustRightInd w:val="0"/>
        <w:snapToGrid w:val="0"/>
        <w:spacing w:before="0" w:beforeAutospacing="0" w:after="0" w:afterAutospacing="0" w:line="360" w:lineRule="auto"/>
        <w:ind w:firstLine="561" w:firstLineChars="200"/>
        <w:rPr>
          <w:rFonts w:hint="eastAsia" w:ascii="微软雅黑" w:hAnsi="微软雅黑" w:eastAsia="微软雅黑" w:cs="微软雅黑"/>
          <w:color w:val="auto"/>
          <w:sz w:val="28"/>
          <w:szCs w:val="28"/>
          <w:highlight w:val="none"/>
        </w:rPr>
      </w:pPr>
      <w:r>
        <w:rPr>
          <w:rStyle w:val="10"/>
          <w:rFonts w:hint="eastAsia" w:ascii="微软雅黑" w:hAnsi="微软雅黑" w:eastAsia="微软雅黑" w:cs="微软雅黑"/>
          <w:bCs/>
          <w:color w:val="auto"/>
          <w:sz w:val="28"/>
          <w:szCs w:val="28"/>
          <w:highlight w:val="none"/>
        </w:rPr>
        <w:t>第十</w:t>
      </w:r>
      <w:r>
        <w:rPr>
          <w:rStyle w:val="10"/>
          <w:rFonts w:hint="eastAsia" w:ascii="微软雅黑" w:hAnsi="微软雅黑" w:eastAsia="微软雅黑" w:cs="微软雅黑"/>
          <w:bCs/>
          <w:color w:val="auto"/>
          <w:sz w:val="28"/>
          <w:szCs w:val="28"/>
          <w:highlight w:val="none"/>
          <w:lang w:eastAsia="zh-CN"/>
        </w:rPr>
        <w:t>三</w:t>
      </w:r>
      <w:r>
        <w:rPr>
          <w:rStyle w:val="10"/>
          <w:rFonts w:hint="eastAsia" w:ascii="微软雅黑" w:hAnsi="微软雅黑" w:eastAsia="微软雅黑" w:cs="微软雅黑"/>
          <w:bCs/>
          <w:color w:val="auto"/>
          <w:sz w:val="28"/>
          <w:szCs w:val="28"/>
          <w:highlight w:val="none"/>
        </w:rPr>
        <w:t>条</w:t>
      </w:r>
      <w:r>
        <w:rPr>
          <w:rFonts w:hint="eastAsia" w:ascii="微软雅黑" w:hAnsi="微软雅黑" w:eastAsia="微软雅黑" w:cs="微软雅黑"/>
          <w:color w:val="auto"/>
          <w:sz w:val="28"/>
          <w:szCs w:val="28"/>
          <w:highlight w:val="none"/>
        </w:rPr>
        <w:t>  市农业农村委结合预算情况，根据合同书确定的拨款计划及项目进展情况向市财政局申请拨款，并按照国库集中支付有关规定拨付资金。</w:t>
      </w:r>
    </w:p>
    <w:p w14:paraId="2FEBBB33">
      <w:pPr>
        <w:pStyle w:val="7"/>
        <w:adjustRightInd w:val="0"/>
        <w:snapToGrid w:val="0"/>
        <w:spacing w:before="0" w:beforeAutospacing="0" w:after="0" w:afterAutospacing="0" w:line="360" w:lineRule="auto"/>
        <w:ind w:firstLine="560" w:firstLineChars="200"/>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项目主持单位应当根据合同书确定的拨款计划，向项目协作单位拨付资金，项目协作单位不得再向外转拨资金。</w:t>
      </w:r>
    </w:p>
    <w:p w14:paraId="6C898DAC">
      <w:pPr>
        <w:tabs>
          <w:tab w:val="left" w:pos="4253"/>
        </w:tabs>
        <w:adjustRightInd w:val="0"/>
        <w:snapToGrid w:val="0"/>
        <w:spacing w:line="360" w:lineRule="auto"/>
        <w:ind w:firstLine="560" w:firstLineChars="200"/>
        <w:outlineLvl w:val="4"/>
        <w:rPr>
          <w:rFonts w:hint="eastAsia" w:ascii="微软雅黑" w:hAnsi="微软雅黑" w:eastAsia="微软雅黑" w:cs="微软雅黑"/>
          <w:color w:val="auto"/>
          <w:kern w:val="0"/>
          <w:sz w:val="28"/>
          <w:szCs w:val="28"/>
          <w:highlight w:val="none"/>
          <w:lang w:bidi="ar"/>
        </w:rPr>
      </w:pPr>
      <w:r>
        <w:rPr>
          <w:rFonts w:hint="eastAsia" w:ascii="微软雅黑" w:hAnsi="微软雅黑" w:eastAsia="微软雅黑" w:cs="微软雅黑"/>
          <w:color w:val="auto"/>
          <w:kern w:val="0"/>
          <w:sz w:val="28"/>
          <w:szCs w:val="28"/>
          <w:highlight w:val="none"/>
          <w:lang w:bidi="ar"/>
        </w:rPr>
        <w:t> 有自筹经费来源的，应当提供经费来源证明及其他相关财务资料。自筹资金应当按照国家和本市有关财务会计制度和相关资金提供方的具体使用管理要求，统筹安排和使用。支出预算应当按照经费开支范围确定的支出科目和不同经费来源编列。</w:t>
      </w:r>
    </w:p>
    <w:p w14:paraId="09E7AD26">
      <w:pPr>
        <w:pStyle w:val="7"/>
        <w:adjustRightInd w:val="0"/>
        <w:snapToGrid w:val="0"/>
        <w:spacing w:before="0" w:beforeAutospacing="0" w:after="0" w:afterAutospacing="0" w:line="360" w:lineRule="auto"/>
        <w:ind w:firstLine="561" w:firstLineChars="200"/>
        <w:rPr>
          <w:rFonts w:hint="eastAsia" w:ascii="微软雅黑" w:hAnsi="微软雅黑" w:eastAsia="微软雅黑" w:cs="微软雅黑"/>
          <w:color w:val="auto"/>
          <w:sz w:val="28"/>
          <w:szCs w:val="28"/>
          <w:highlight w:val="none"/>
        </w:rPr>
      </w:pPr>
      <w:r>
        <w:rPr>
          <w:rStyle w:val="10"/>
          <w:rFonts w:hint="eastAsia" w:ascii="微软雅黑" w:hAnsi="微软雅黑" w:eastAsia="微软雅黑" w:cs="微软雅黑"/>
          <w:bCs/>
          <w:color w:val="auto"/>
          <w:sz w:val="28"/>
          <w:szCs w:val="28"/>
          <w:highlight w:val="none"/>
        </w:rPr>
        <w:t>第十</w:t>
      </w:r>
      <w:r>
        <w:rPr>
          <w:rStyle w:val="10"/>
          <w:rFonts w:hint="eastAsia" w:ascii="微软雅黑" w:hAnsi="微软雅黑" w:eastAsia="微软雅黑" w:cs="微软雅黑"/>
          <w:bCs/>
          <w:color w:val="auto"/>
          <w:sz w:val="28"/>
          <w:szCs w:val="28"/>
          <w:highlight w:val="none"/>
          <w:lang w:eastAsia="zh-CN"/>
        </w:rPr>
        <w:t>四</w:t>
      </w:r>
      <w:r>
        <w:rPr>
          <w:rStyle w:val="10"/>
          <w:rFonts w:hint="eastAsia" w:ascii="微软雅黑" w:hAnsi="微软雅黑" w:eastAsia="微软雅黑" w:cs="微软雅黑"/>
          <w:bCs/>
          <w:color w:val="auto"/>
          <w:sz w:val="28"/>
          <w:szCs w:val="28"/>
          <w:highlight w:val="none"/>
        </w:rPr>
        <w:t>条</w:t>
      </w:r>
      <w:r>
        <w:rPr>
          <w:rFonts w:hint="eastAsia" w:ascii="微软雅黑" w:hAnsi="微软雅黑" w:eastAsia="微软雅黑" w:cs="微软雅黑"/>
          <w:color w:val="auto"/>
          <w:sz w:val="28"/>
          <w:szCs w:val="28"/>
          <w:highlight w:val="none"/>
        </w:rPr>
        <w:t>  项目承担单位应严格按合同和计划任务书规定的内容使用项目资金，确有必要调整时，按以下程序办理：</w:t>
      </w:r>
    </w:p>
    <w:p w14:paraId="0E5FF06E">
      <w:pPr>
        <w:pStyle w:val="7"/>
        <w:adjustRightInd w:val="0"/>
        <w:snapToGrid w:val="0"/>
        <w:spacing w:before="0" w:beforeAutospacing="0" w:after="0" w:afterAutospacing="0" w:line="360" w:lineRule="auto"/>
        <w:ind w:firstLine="560" w:firstLineChars="200"/>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（一）项目预算总额调整，由项目主持单位提出申请，经市农业科技服务中心审核评估后，报市农业农村委及市财政局批准。承担单位间预算调剂，报市农业科技服务中心批准。</w:t>
      </w:r>
    </w:p>
    <w:p w14:paraId="5AA48B7B">
      <w:pPr>
        <w:pStyle w:val="7"/>
        <w:adjustRightInd w:val="0"/>
        <w:snapToGrid w:val="0"/>
        <w:spacing w:before="0" w:beforeAutospacing="0" w:after="0" w:afterAutospacing="0" w:line="360" w:lineRule="auto"/>
        <w:ind w:firstLine="560" w:firstLineChars="200"/>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（二）项目预算总额不变，设备费预算调剂的，由项目负责人提出申请，项目承担单位统筹考虑现有设备配置情况和科研项目实际需求后，由项目承担单位自行审批。</w:t>
      </w:r>
    </w:p>
    <w:p w14:paraId="3ED66841">
      <w:pPr>
        <w:pStyle w:val="7"/>
        <w:adjustRightInd w:val="0"/>
        <w:snapToGrid w:val="0"/>
        <w:spacing w:before="0" w:beforeAutospacing="0" w:after="0" w:afterAutospacing="0" w:line="360" w:lineRule="auto"/>
        <w:ind w:firstLine="560" w:firstLineChars="200"/>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（三）项目预算总额不变，除设备费外的其他直接费用调剂，项目承担单位应按照国家有关规定完善内部管理制度，结合单位实际情况自行审批或授权项目负责人根据科研活动实际需要自主安排。</w:t>
      </w:r>
    </w:p>
    <w:p w14:paraId="49DBAF2D">
      <w:pPr>
        <w:pStyle w:val="7"/>
        <w:adjustRightInd w:val="0"/>
        <w:snapToGrid w:val="0"/>
        <w:spacing w:before="0" w:beforeAutospacing="0" w:after="0" w:afterAutospacing="0" w:line="360" w:lineRule="auto"/>
        <w:ind w:firstLine="560" w:firstLineChars="200"/>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（四）项目间接费用预算总额不得调增。内部构成调剂或调剂至直接费用，由项目负责人提出申请，项目承担单位自行进行审批。</w:t>
      </w:r>
    </w:p>
    <w:p w14:paraId="442C13EE">
      <w:pPr>
        <w:pStyle w:val="7"/>
        <w:adjustRightInd w:val="0"/>
        <w:snapToGrid w:val="0"/>
        <w:spacing w:before="0" w:beforeAutospacing="0" w:after="0" w:afterAutospacing="0" w:line="360" w:lineRule="auto"/>
        <w:ind w:firstLine="560" w:firstLineChars="200"/>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（五）项目承担单位预算调剂相关情况，应在提交项目验收申请</w:t>
      </w:r>
      <w:r>
        <w:rPr>
          <w:rFonts w:hint="eastAsia" w:ascii="微软雅黑" w:hAnsi="微软雅黑" w:eastAsia="微软雅黑" w:cs="微软雅黑"/>
          <w:color w:val="auto"/>
          <w:sz w:val="28"/>
          <w:szCs w:val="28"/>
          <w:highlight w:val="none"/>
          <w:lang w:val="en-US" w:eastAsia="zh-CN"/>
        </w:rPr>
        <w:t>3个月</w:t>
      </w:r>
      <w:r>
        <w:rPr>
          <w:rFonts w:hint="default" w:ascii="微软雅黑" w:hAnsi="微软雅黑" w:eastAsia="微软雅黑" w:cs="微软雅黑"/>
          <w:color w:val="auto"/>
          <w:sz w:val="28"/>
          <w:szCs w:val="28"/>
          <w:highlight w:val="none"/>
          <w:lang w:val="en-US"/>
        </w:rPr>
        <w:t>前</w:t>
      </w:r>
      <w:r>
        <w:rPr>
          <w:rFonts w:hint="eastAsia" w:ascii="微软雅黑" w:hAnsi="微软雅黑" w:eastAsia="微软雅黑" w:cs="微软雅黑"/>
          <w:color w:val="auto"/>
          <w:sz w:val="28"/>
          <w:szCs w:val="28"/>
          <w:highlight w:val="none"/>
        </w:rPr>
        <w:t>，报市农业科技服务中心备案，其中项目协作单位预算调剂相关情况应先及时报项目主持单位备案。</w:t>
      </w:r>
    </w:p>
    <w:p w14:paraId="6FC84563">
      <w:pPr>
        <w:pStyle w:val="7"/>
        <w:adjustRightInd w:val="0"/>
        <w:snapToGrid w:val="0"/>
        <w:spacing w:before="0" w:beforeAutospacing="0" w:after="0" w:afterAutospacing="0" w:line="360" w:lineRule="auto"/>
        <w:ind w:firstLine="561" w:firstLineChars="200"/>
        <w:rPr>
          <w:rFonts w:hint="eastAsia" w:ascii="微软雅黑" w:hAnsi="微软雅黑" w:eastAsia="微软雅黑" w:cs="微软雅黑"/>
          <w:color w:val="auto"/>
          <w:sz w:val="28"/>
          <w:szCs w:val="28"/>
          <w:highlight w:val="none"/>
        </w:rPr>
      </w:pPr>
      <w:r>
        <w:rPr>
          <w:rStyle w:val="10"/>
          <w:rFonts w:hint="eastAsia" w:ascii="微软雅黑" w:hAnsi="微软雅黑" w:eastAsia="微软雅黑" w:cs="微软雅黑"/>
          <w:bCs/>
          <w:color w:val="auto"/>
          <w:sz w:val="28"/>
          <w:szCs w:val="28"/>
          <w:highlight w:val="none"/>
        </w:rPr>
        <w:t>第十</w:t>
      </w:r>
      <w:r>
        <w:rPr>
          <w:rStyle w:val="10"/>
          <w:rFonts w:hint="eastAsia" w:ascii="微软雅黑" w:hAnsi="微软雅黑" w:eastAsia="微软雅黑" w:cs="微软雅黑"/>
          <w:bCs/>
          <w:color w:val="auto"/>
          <w:sz w:val="28"/>
          <w:szCs w:val="28"/>
          <w:highlight w:val="none"/>
          <w:lang w:eastAsia="zh-CN"/>
        </w:rPr>
        <w:t>五</w:t>
      </w:r>
      <w:r>
        <w:rPr>
          <w:rStyle w:val="10"/>
          <w:rFonts w:hint="eastAsia" w:ascii="微软雅黑" w:hAnsi="微软雅黑" w:eastAsia="微软雅黑" w:cs="微软雅黑"/>
          <w:bCs/>
          <w:color w:val="auto"/>
          <w:sz w:val="28"/>
          <w:szCs w:val="28"/>
          <w:highlight w:val="none"/>
        </w:rPr>
        <w:t>条</w:t>
      </w:r>
      <w:r>
        <w:rPr>
          <w:rFonts w:hint="eastAsia" w:ascii="微软雅黑" w:hAnsi="微软雅黑" w:eastAsia="微软雅黑" w:cs="微软雅黑"/>
          <w:color w:val="auto"/>
          <w:sz w:val="28"/>
          <w:szCs w:val="28"/>
          <w:highlight w:val="none"/>
        </w:rPr>
        <w:t>  项目承担单位是项目经费管理和使用的责任主体，应严格执行国家有关财经法规和财务制度，切实履行科研项目资金管理法人主体责任，建立健全财务管理、资产管理和会计核算制度，对项目资金使用单独设置</w:t>
      </w:r>
      <w:r>
        <w:rPr>
          <w:rFonts w:hint="eastAsia" w:ascii="微软雅黑" w:hAnsi="微软雅黑" w:eastAsia="微软雅黑" w:cs="微软雅黑"/>
          <w:color w:val="auto"/>
          <w:sz w:val="28"/>
          <w:szCs w:val="28"/>
          <w:highlight w:val="none"/>
          <w:lang w:val="en-US" w:eastAsia="zh-CN"/>
        </w:rPr>
        <w:t>专</w:t>
      </w:r>
      <w:r>
        <w:rPr>
          <w:rFonts w:hint="eastAsia" w:ascii="微软雅黑" w:hAnsi="微软雅黑" w:eastAsia="微软雅黑" w:cs="微软雅黑"/>
          <w:color w:val="auto"/>
          <w:sz w:val="28"/>
          <w:szCs w:val="28"/>
          <w:highlight w:val="none"/>
        </w:rPr>
        <w:t>账，专款专用，合理开支，强化资金使用绩效评价，确保资金使用安全规范有效。在预算编制、经费管理、预算调剂、资金审计等方面为科研人员提供必要的政策咨询、培训支撑等相关服务。</w:t>
      </w:r>
    </w:p>
    <w:p w14:paraId="725D737D">
      <w:pPr>
        <w:tabs>
          <w:tab w:val="left" w:pos="4253"/>
        </w:tabs>
        <w:adjustRightInd w:val="0"/>
        <w:snapToGrid w:val="0"/>
        <w:spacing w:line="360" w:lineRule="auto"/>
        <w:ind w:firstLine="561" w:firstLineChars="200"/>
        <w:outlineLvl w:val="4"/>
        <w:rPr>
          <w:rFonts w:hint="eastAsia" w:ascii="微软雅黑" w:hAnsi="微软雅黑" w:eastAsia="微软雅黑" w:cs="微软雅黑"/>
          <w:color w:val="auto"/>
          <w:kern w:val="0"/>
          <w:sz w:val="28"/>
          <w:szCs w:val="28"/>
          <w:highlight w:val="none"/>
          <w:lang w:bidi="ar"/>
        </w:rPr>
      </w:pPr>
      <w:r>
        <w:rPr>
          <w:rFonts w:hint="eastAsia" w:ascii="微软雅黑" w:hAnsi="微软雅黑" w:eastAsia="微软雅黑" w:cs="微软雅黑"/>
          <w:b/>
          <w:bCs/>
          <w:color w:val="auto"/>
          <w:kern w:val="0"/>
          <w:sz w:val="28"/>
          <w:szCs w:val="28"/>
          <w:highlight w:val="none"/>
          <w:lang w:bidi="ar"/>
        </w:rPr>
        <w:t>第十</w:t>
      </w:r>
      <w:r>
        <w:rPr>
          <w:rFonts w:hint="eastAsia" w:ascii="微软雅黑" w:hAnsi="微软雅黑" w:eastAsia="微软雅黑" w:cs="微软雅黑"/>
          <w:b/>
          <w:bCs/>
          <w:color w:val="auto"/>
          <w:kern w:val="0"/>
          <w:sz w:val="28"/>
          <w:szCs w:val="28"/>
          <w:highlight w:val="none"/>
          <w:lang w:eastAsia="zh-CN" w:bidi="ar"/>
        </w:rPr>
        <w:t>六</w:t>
      </w:r>
      <w:r>
        <w:rPr>
          <w:rFonts w:hint="eastAsia" w:ascii="微软雅黑" w:hAnsi="微软雅黑" w:eastAsia="微软雅黑" w:cs="微软雅黑"/>
          <w:b/>
          <w:bCs/>
          <w:color w:val="auto"/>
          <w:kern w:val="0"/>
          <w:sz w:val="28"/>
          <w:szCs w:val="28"/>
          <w:highlight w:val="none"/>
          <w:lang w:bidi="ar"/>
        </w:rPr>
        <w:t>条</w:t>
      </w:r>
      <w:r>
        <w:rPr>
          <w:rFonts w:hint="eastAsia" w:ascii="微软雅黑" w:hAnsi="微软雅黑" w:eastAsia="微软雅黑" w:cs="微软雅黑"/>
          <w:color w:val="auto"/>
          <w:kern w:val="0"/>
          <w:sz w:val="28"/>
          <w:szCs w:val="28"/>
          <w:highlight w:val="none"/>
          <w:lang w:bidi="ar"/>
        </w:rPr>
        <w:t xml:space="preserve"> 承担单位在项目经费使用和管理中，不得存在以下行为：（一）编报虚假预算；（二）未对专项经费进行单独核算；（三）列支与本项目任务无关的支出；（四）未按规定执行和调剂预算、违反规定转拨项目经费；（五）虚假承诺、单位自筹资金不到位；（六）通过虚假合同、虚假票据、虚构事项、虚报人员等弄虚作假，转移、套取、报销项目经费；（七）截留、挤占、挪用项目经费；（八）设置账外账、随意调账变动支出、随意修改记账凭证、提供虚假财务会计资料等；（九）使用项目资金列支应当由个人负担的有关费用和支付各种罚款、捐款、赞助、投资，偿还债务等；（十）其他违反国家财经纪律的行为。</w:t>
      </w:r>
    </w:p>
    <w:p w14:paraId="2EF40244">
      <w:pPr>
        <w:pStyle w:val="7"/>
        <w:adjustRightInd w:val="0"/>
        <w:snapToGrid w:val="0"/>
        <w:spacing w:before="0" w:beforeAutospacing="0" w:after="0" w:afterAutospacing="0" w:line="360" w:lineRule="auto"/>
        <w:ind w:firstLine="561" w:firstLineChars="200"/>
        <w:rPr>
          <w:rFonts w:hint="eastAsia" w:ascii="微软雅黑" w:hAnsi="微软雅黑" w:eastAsia="微软雅黑" w:cs="微软雅黑"/>
          <w:color w:val="auto"/>
          <w:sz w:val="28"/>
          <w:szCs w:val="28"/>
          <w:highlight w:val="none"/>
        </w:rPr>
      </w:pPr>
      <w:r>
        <w:rPr>
          <w:rStyle w:val="10"/>
          <w:rFonts w:hint="eastAsia" w:ascii="微软雅黑" w:hAnsi="微软雅黑" w:eastAsia="微软雅黑" w:cs="微软雅黑"/>
          <w:bCs/>
          <w:color w:val="auto"/>
          <w:sz w:val="28"/>
          <w:szCs w:val="28"/>
          <w:highlight w:val="none"/>
        </w:rPr>
        <w:t>第十</w:t>
      </w:r>
      <w:r>
        <w:rPr>
          <w:rStyle w:val="10"/>
          <w:rFonts w:hint="eastAsia" w:ascii="微软雅黑" w:hAnsi="微软雅黑" w:eastAsia="微软雅黑" w:cs="微软雅黑"/>
          <w:bCs/>
          <w:color w:val="auto"/>
          <w:sz w:val="28"/>
          <w:szCs w:val="28"/>
          <w:highlight w:val="none"/>
          <w:lang w:eastAsia="zh-CN"/>
        </w:rPr>
        <w:t>七</w:t>
      </w:r>
      <w:r>
        <w:rPr>
          <w:rStyle w:val="10"/>
          <w:rFonts w:hint="eastAsia" w:ascii="微软雅黑" w:hAnsi="微软雅黑" w:eastAsia="微软雅黑" w:cs="微软雅黑"/>
          <w:bCs/>
          <w:color w:val="auto"/>
          <w:sz w:val="28"/>
          <w:szCs w:val="28"/>
          <w:highlight w:val="none"/>
        </w:rPr>
        <w:t>条</w:t>
      </w:r>
      <w:r>
        <w:rPr>
          <w:rFonts w:hint="eastAsia" w:ascii="微软雅黑" w:hAnsi="微软雅黑" w:eastAsia="微软雅黑" w:cs="微软雅黑"/>
          <w:color w:val="auto"/>
          <w:sz w:val="28"/>
          <w:szCs w:val="28"/>
          <w:highlight w:val="none"/>
        </w:rPr>
        <w:t>  资金结转结余</w:t>
      </w:r>
    </w:p>
    <w:p w14:paraId="14524E74">
      <w:pPr>
        <w:pStyle w:val="7"/>
        <w:adjustRightInd w:val="0"/>
        <w:snapToGrid w:val="0"/>
        <w:spacing w:before="0" w:beforeAutospacing="0" w:after="0" w:afterAutospacing="0" w:line="360" w:lineRule="auto"/>
        <w:ind w:firstLine="560" w:firstLineChars="200"/>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在研项目年度结转的资金可留存项目承担单位，结转到下一年度按规定继续使用。　　</w:t>
      </w:r>
    </w:p>
    <w:p w14:paraId="6BD3E6C1">
      <w:pPr>
        <w:pStyle w:val="7"/>
        <w:adjustRightInd w:val="0"/>
        <w:snapToGrid w:val="0"/>
        <w:spacing w:before="0" w:beforeAutospacing="0" w:after="0" w:afterAutospacing="0" w:line="360" w:lineRule="auto"/>
        <w:ind w:firstLine="560" w:firstLineChars="200"/>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项目因故终止，承担单位应自提出终止申请或接到市农业农村委终止通知之日起，在1个月内完成清理账目与资产，编制财务报告及资产清单，市农业农村委停拨项目经费、组织项目资金清查处理、确认并收回项目结余资金。</w:t>
      </w:r>
    </w:p>
    <w:p w14:paraId="3D9BBEAD">
      <w:pPr>
        <w:pStyle w:val="7"/>
        <w:adjustRightInd w:val="0"/>
        <w:snapToGrid w:val="0"/>
        <w:spacing w:before="0" w:beforeAutospacing="0" w:after="0" w:afterAutospacing="0" w:line="360" w:lineRule="auto"/>
        <w:ind w:firstLine="560" w:firstLineChars="200"/>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通过验收的项目，结余资金留归项目承担单位使用，统筹用于科研活动直接支出。项目承担单位应优先考虑原项目团队科研需求，加强结余资金管理，健全结余资金盘活机制，加快资金使用进度。</w:t>
      </w:r>
    </w:p>
    <w:p w14:paraId="7514B6EB">
      <w:pPr>
        <w:pStyle w:val="7"/>
        <w:adjustRightInd w:val="0"/>
        <w:snapToGrid w:val="0"/>
        <w:spacing w:before="0" w:beforeAutospacing="0" w:after="0" w:afterAutospacing="0" w:line="360" w:lineRule="auto"/>
        <w:ind w:firstLine="560" w:firstLineChars="200"/>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未通过验收的项目，市农业农村委停拨项目经费、组织项目资金清查处理、确认并收回项目结余资金。如仍有尾款的，不再拨付。</w:t>
      </w:r>
    </w:p>
    <w:p w14:paraId="67844BFF">
      <w:pPr>
        <w:pStyle w:val="7"/>
        <w:adjustRightInd w:val="0"/>
        <w:snapToGrid w:val="0"/>
        <w:spacing w:before="0" w:beforeAutospacing="0" w:after="0" w:afterAutospacing="0" w:line="360" w:lineRule="auto"/>
        <w:ind w:firstLine="561" w:firstLineChars="200"/>
        <w:rPr>
          <w:rFonts w:hint="eastAsia" w:ascii="微软雅黑" w:hAnsi="微软雅黑" w:eastAsia="微软雅黑" w:cs="微软雅黑"/>
          <w:b w:val="0"/>
          <w:bCs w:val="0"/>
          <w:color w:val="auto"/>
          <w:sz w:val="28"/>
          <w:szCs w:val="28"/>
          <w:highlight w:val="none"/>
        </w:rPr>
      </w:pPr>
      <w:r>
        <w:rPr>
          <w:rStyle w:val="10"/>
          <w:rFonts w:hint="eastAsia" w:ascii="微软雅黑" w:hAnsi="微软雅黑" w:eastAsia="微软雅黑" w:cs="微软雅黑"/>
          <w:bCs/>
          <w:color w:val="auto"/>
          <w:sz w:val="28"/>
          <w:szCs w:val="28"/>
          <w:highlight w:val="none"/>
        </w:rPr>
        <w:t>第十</w:t>
      </w:r>
      <w:r>
        <w:rPr>
          <w:rStyle w:val="10"/>
          <w:rFonts w:hint="eastAsia" w:ascii="微软雅黑" w:hAnsi="微软雅黑" w:eastAsia="微软雅黑" w:cs="微软雅黑"/>
          <w:bCs/>
          <w:color w:val="auto"/>
          <w:sz w:val="28"/>
          <w:szCs w:val="28"/>
          <w:highlight w:val="none"/>
          <w:lang w:eastAsia="zh-CN"/>
        </w:rPr>
        <w:t>八</w:t>
      </w:r>
      <w:r>
        <w:rPr>
          <w:rStyle w:val="10"/>
          <w:rFonts w:hint="eastAsia" w:ascii="微软雅黑" w:hAnsi="微软雅黑" w:eastAsia="微软雅黑" w:cs="微软雅黑"/>
          <w:bCs/>
          <w:color w:val="auto"/>
          <w:sz w:val="28"/>
          <w:szCs w:val="28"/>
          <w:highlight w:val="none"/>
        </w:rPr>
        <w:t>条</w:t>
      </w:r>
      <w:r>
        <w:rPr>
          <w:rFonts w:hint="eastAsia" w:ascii="微软雅黑" w:hAnsi="微软雅黑" w:eastAsia="微软雅黑" w:cs="微软雅黑"/>
          <w:color w:val="auto"/>
          <w:sz w:val="28"/>
          <w:szCs w:val="28"/>
          <w:highlight w:val="none"/>
        </w:rPr>
        <w:t>  </w:t>
      </w:r>
      <w:r>
        <w:rPr>
          <w:rFonts w:hint="eastAsia" w:ascii="微软雅黑" w:hAnsi="微软雅黑" w:eastAsia="微软雅黑" w:cs="微软雅黑"/>
          <w:b w:val="0"/>
          <w:bCs w:val="0"/>
          <w:color w:val="auto"/>
          <w:sz w:val="28"/>
          <w:szCs w:val="28"/>
          <w:highlight w:val="none"/>
        </w:rPr>
        <w:t>事业单位使用项目资金形成的固定资产属于国有资产，应当按照国家和本市有关国有资产管理规定管理。企业等经营单位使用项目资金形成的固定资产</w:t>
      </w:r>
      <w:r>
        <w:rPr>
          <w:rFonts w:hint="eastAsia" w:ascii="微软雅黑" w:hAnsi="微软雅黑" w:eastAsia="微软雅黑" w:cs="微软雅黑"/>
          <w:b w:val="0"/>
          <w:bCs w:val="0"/>
          <w:color w:val="auto"/>
          <w:sz w:val="27"/>
          <w:szCs w:val="27"/>
          <w:highlight w:val="none"/>
        </w:rPr>
        <w:t>，按照企业财务与资产管理相关规章制度执行。</w:t>
      </w:r>
    </w:p>
    <w:p w14:paraId="73BD78B0">
      <w:pPr>
        <w:pStyle w:val="7"/>
        <w:adjustRightInd w:val="0"/>
        <w:snapToGrid w:val="0"/>
        <w:spacing w:before="0" w:beforeAutospacing="0" w:after="0" w:afterAutospacing="0" w:line="360" w:lineRule="auto"/>
        <w:ind w:firstLine="561" w:firstLineChars="200"/>
        <w:rPr>
          <w:rFonts w:hint="eastAsia" w:ascii="微软雅黑" w:hAnsi="微软雅黑" w:eastAsia="微软雅黑" w:cs="微软雅黑"/>
          <w:color w:val="auto"/>
          <w:sz w:val="28"/>
          <w:szCs w:val="28"/>
          <w:highlight w:val="none"/>
        </w:rPr>
      </w:pPr>
      <w:r>
        <w:rPr>
          <w:rStyle w:val="10"/>
          <w:rFonts w:hint="eastAsia" w:ascii="微软雅黑" w:hAnsi="微软雅黑" w:eastAsia="微软雅黑" w:cs="微软雅黑"/>
          <w:bCs/>
          <w:color w:val="auto"/>
          <w:sz w:val="28"/>
          <w:szCs w:val="28"/>
          <w:highlight w:val="none"/>
        </w:rPr>
        <w:t>第</w:t>
      </w:r>
      <w:r>
        <w:rPr>
          <w:rStyle w:val="10"/>
          <w:rFonts w:hint="eastAsia" w:ascii="微软雅黑" w:hAnsi="微软雅黑" w:eastAsia="微软雅黑" w:cs="微软雅黑"/>
          <w:bCs/>
          <w:color w:val="auto"/>
          <w:sz w:val="28"/>
          <w:szCs w:val="28"/>
          <w:highlight w:val="none"/>
          <w:lang w:eastAsia="zh-CN"/>
        </w:rPr>
        <w:t>十九</w:t>
      </w:r>
      <w:r>
        <w:rPr>
          <w:rStyle w:val="10"/>
          <w:rFonts w:hint="eastAsia" w:ascii="微软雅黑" w:hAnsi="微软雅黑" w:eastAsia="微软雅黑" w:cs="微软雅黑"/>
          <w:bCs/>
          <w:color w:val="auto"/>
          <w:sz w:val="28"/>
          <w:szCs w:val="28"/>
          <w:highlight w:val="none"/>
        </w:rPr>
        <w:t>条</w:t>
      </w:r>
      <w:r>
        <w:rPr>
          <w:rFonts w:hint="eastAsia" w:ascii="微软雅黑" w:hAnsi="微软雅黑" w:eastAsia="微软雅黑" w:cs="微软雅黑"/>
          <w:color w:val="auto"/>
          <w:sz w:val="28"/>
          <w:szCs w:val="28"/>
          <w:highlight w:val="none"/>
        </w:rPr>
        <w:t>  项目实施形成的大型科学仪器设备、科学数据、自然科技资源等，在保障有关单位合法权益的基础上，按照国家和本市有关规定开放共享。</w:t>
      </w:r>
    </w:p>
    <w:p w14:paraId="09C4BC66">
      <w:pPr>
        <w:pStyle w:val="7"/>
        <w:adjustRightInd w:val="0"/>
        <w:snapToGrid w:val="0"/>
        <w:spacing w:before="0" w:beforeAutospacing="0" w:after="0" w:afterAutospacing="0" w:line="360" w:lineRule="auto"/>
        <w:ind w:firstLine="561" w:firstLineChars="200"/>
        <w:rPr>
          <w:rFonts w:hint="eastAsia" w:ascii="微软雅黑" w:hAnsi="微软雅黑" w:eastAsia="微软雅黑" w:cs="微软雅黑"/>
          <w:color w:val="auto"/>
          <w:sz w:val="28"/>
          <w:szCs w:val="28"/>
          <w:highlight w:val="none"/>
        </w:rPr>
      </w:pPr>
      <w:r>
        <w:rPr>
          <w:rStyle w:val="10"/>
          <w:rFonts w:hint="eastAsia" w:ascii="微软雅黑" w:hAnsi="微软雅黑" w:eastAsia="微软雅黑" w:cs="微软雅黑"/>
          <w:bCs/>
          <w:color w:val="auto"/>
          <w:sz w:val="28"/>
          <w:szCs w:val="28"/>
          <w:highlight w:val="none"/>
        </w:rPr>
        <w:t>第五章  责任与监督</w:t>
      </w:r>
    </w:p>
    <w:p w14:paraId="21EE6FD0">
      <w:pPr>
        <w:pStyle w:val="7"/>
        <w:adjustRightInd w:val="0"/>
        <w:snapToGrid w:val="0"/>
        <w:spacing w:before="0" w:beforeAutospacing="0" w:after="0" w:afterAutospacing="0" w:line="360" w:lineRule="auto"/>
        <w:ind w:firstLine="561" w:firstLineChars="200"/>
        <w:rPr>
          <w:rFonts w:hint="eastAsia" w:ascii="微软雅黑" w:hAnsi="微软雅黑" w:eastAsia="微软雅黑" w:cs="微软雅黑"/>
          <w:color w:val="auto"/>
          <w:sz w:val="28"/>
          <w:szCs w:val="28"/>
          <w:highlight w:val="none"/>
        </w:rPr>
      </w:pPr>
      <w:r>
        <w:rPr>
          <w:rStyle w:val="10"/>
          <w:rFonts w:hint="eastAsia" w:ascii="微软雅黑" w:hAnsi="微软雅黑" w:eastAsia="微软雅黑" w:cs="微软雅黑"/>
          <w:bCs/>
          <w:color w:val="auto"/>
          <w:sz w:val="28"/>
          <w:szCs w:val="28"/>
          <w:highlight w:val="none"/>
        </w:rPr>
        <w:t>第二十条</w:t>
      </w:r>
      <w:r>
        <w:rPr>
          <w:rFonts w:hint="eastAsia" w:ascii="微软雅黑" w:hAnsi="微软雅黑" w:eastAsia="微软雅黑" w:cs="微软雅黑"/>
          <w:color w:val="auto"/>
          <w:sz w:val="28"/>
          <w:szCs w:val="28"/>
          <w:highlight w:val="none"/>
        </w:rPr>
        <w:t>  项目承担单位应按照国家及本市相关文件精神，建立健全项目和资金管理制度，完善内部控制和监督制约机制，认真行使资金管理、审核和监督权；采取有效措施为项目实施提供科研、财务、行政等支撑；制定并严格执行项目调整审批程序，配合做好评审、验收与效果评估等有关工作。</w:t>
      </w:r>
    </w:p>
    <w:p w14:paraId="3B0E555B">
      <w:pPr>
        <w:pStyle w:val="7"/>
        <w:adjustRightInd w:val="0"/>
        <w:snapToGrid w:val="0"/>
        <w:spacing w:before="0" w:beforeAutospacing="0" w:after="0" w:afterAutospacing="0" w:line="360" w:lineRule="auto"/>
        <w:ind w:firstLine="560" w:firstLineChars="200"/>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项目主持单位和项目负责人是项目实施、资金使用和管理的责任主体。项目协作单位及负责人应配合主持单位完成原始资料收集、项目总结、资金决算及审计等工作。</w:t>
      </w:r>
    </w:p>
    <w:p w14:paraId="450925A2">
      <w:pPr>
        <w:tabs>
          <w:tab w:val="left" w:pos="4253"/>
        </w:tabs>
        <w:adjustRightInd w:val="0"/>
        <w:snapToGrid w:val="0"/>
        <w:spacing w:line="360" w:lineRule="auto"/>
        <w:ind w:firstLine="561" w:firstLineChars="200"/>
        <w:outlineLvl w:val="4"/>
        <w:rPr>
          <w:rFonts w:hint="eastAsia" w:ascii="微软雅黑" w:hAnsi="微软雅黑" w:eastAsia="微软雅黑" w:cs="微软雅黑"/>
          <w:color w:val="auto"/>
          <w:sz w:val="28"/>
          <w:szCs w:val="28"/>
          <w:highlight w:val="none"/>
        </w:rPr>
      </w:pPr>
      <w:r>
        <w:rPr>
          <w:rStyle w:val="10"/>
          <w:rFonts w:hint="eastAsia" w:ascii="微软雅黑" w:hAnsi="微软雅黑" w:eastAsia="微软雅黑" w:cs="微软雅黑"/>
          <w:bCs/>
          <w:color w:val="auto"/>
          <w:sz w:val="28"/>
          <w:szCs w:val="28"/>
          <w:highlight w:val="none"/>
        </w:rPr>
        <w:t>第二十</w:t>
      </w:r>
      <w:r>
        <w:rPr>
          <w:rStyle w:val="10"/>
          <w:rFonts w:hint="eastAsia" w:ascii="微软雅黑" w:hAnsi="微软雅黑" w:eastAsia="微软雅黑" w:cs="微软雅黑"/>
          <w:bCs/>
          <w:color w:val="auto"/>
          <w:sz w:val="28"/>
          <w:szCs w:val="28"/>
          <w:highlight w:val="none"/>
          <w:lang w:eastAsia="zh-CN"/>
        </w:rPr>
        <w:t>一</w:t>
      </w:r>
      <w:r>
        <w:rPr>
          <w:rStyle w:val="10"/>
          <w:rFonts w:hint="eastAsia" w:ascii="微软雅黑" w:hAnsi="微软雅黑" w:eastAsia="微软雅黑" w:cs="微软雅黑"/>
          <w:bCs/>
          <w:color w:val="auto"/>
          <w:sz w:val="28"/>
          <w:szCs w:val="28"/>
          <w:highlight w:val="none"/>
        </w:rPr>
        <w:t>条</w:t>
      </w:r>
      <w:r>
        <w:rPr>
          <w:rFonts w:hint="eastAsia" w:ascii="微软雅黑" w:hAnsi="微软雅黑" w:eastAsia="微软雅黑" w:cs="微软雅黑"/>
          <w:color w:val="auto"/>
          <w:sz w:val="28"/>
          <w:szCs w:val="28"/>
          <w:highlight w:val="none"/>
        </w:rPr>
        <w:t>  项目主持单位所在区农业农村部门应积极协调指导项目实施工作，协助市农业科技服务中心做好项目过程管理，加强项目实施的监督检查。</w:t>
      </w:r>
    </w:p>
    <w:p w14:paraId="407204DF">
      <w:pPr>
        <w:pStyle w:val="7"/>
        <w:adjustRightInd w:val="0"/>
        <w:snapToGrid w:val="0"/>
        <w:spacing w:before="0" w:beforeAutospacing="0" w:after="0" w:afterAutospacing="0" w:line="360" w:lineRule="auto"/>
        <w:ind w:firstLine="561" w:firstLineChars="200"/>
        <w:rPr>
          <w:rFonts w:hint="eastAsia" w:ascii="微软雅黑" w:hAnsi="微软雅黑" w:eastAsia="微软雅黑" w:cs="微软雅黑"/>
          <w:color w:val="auto"/>
          <w:sz w:val="28"/>
          <w:szCs w:val="28"/>
          <w:highlight w:val="none"/>
        </w:rPr>
      </w:pPr>
      <w:r>
        <w:rPr>
          <w:rStyle w:val="10"/>
          <w:rFonts w:hint="eastAsia" w:ascii="微软雅黑" w:hAnsi="微软雅黑" w:eastAsia="微软雅黑" w:cs="微软雅黑"/>
          <w:bCs/>
          <w:color w:val="auto"/>
          <w:sz w:val="28"/>
          <w:szCs w:val="28"/>
          <w:highlight w:val="none"/>
        </w:rPr>
        <w:t>第二十</w:t>
      </w:r>
      <w:r>
        <w:rPr>
          <w:rStyle w:val="10"/>
          <w:rFonts w:hint="eastAsia" w:ascii="微软雅黑" w:hAnsi="微软雅黑" w:eastAsia="微软雅黑" w:cs="微软雅黑"/>
          <w:bCs/>
          <w:color w:val="auto"/>
          <w:sz w:val="28"/>
          <w:szCs w:val="28"/>
          <w:highlight w:val="none"/>
          <w:lang w:eastAsia="zh-CN"/>
        </w:rPr>
        <w:t>二</w:t>
      </w:r>
      <w:r>
        <w:rPr>
          <w:rStyle w:val="10"/>
          <w:rFonts w:hint="eastAsia" w:ascii="微软雅黑" w:hAnsi="微软雅黑" w:eastAsia="微软雅黑" w:cs="微软雅黑"/>
          <w:bCs/>
          <w:color w:val="auto"/>
          <w:sz w:val="28"/>
          <w:szCs w:val="28"/>
          <w:highlight w:val="none"/>
        </w:rPr>
        <w:t>条</w:t>
      </w:r>
      <w:r>
        <w:rPr>
          <w:rFonts w:hint="eastAsia" w:ascii="微软雅黑" w:hAnsi="微软雅黑" w:eastAsia="微软雅黑" w:cs="微软雅黑"/>
          <w:color w:val="auto"/>
          <w:sz w:val="28"/>
          <w:szCs w:val="28"/>
          <w:highlight w:val="none"/>
        </w:rPr>
        <w:t>  市农业农村委、市财政局通过专项检查、监督评估、绩效评价等多种方式，对项目实施和资金管理使用情况进行监督检查，对发现问题的承担单位，采取警示、约谈等方式，督促整改，追踪问责</w:t>
      </w:r>
      <w:r>
        <w:rPr>
          <w:rFonts w:hint="eastAsia" w:ascii="微软雅黑" w:hAnsi="微软雅黑" w:eastAsia="微软雅黑" w:cs="微软雅黑"/>
          <w:color w:val="auto"/>
          <w:sz w:val="28"/>
          <w:szCs w:val="28"/>
          <w:highlight w:val="none"/>
          <w:lang w:eastAsia="zh-CN"/>
        </w:rPr>
        <w:t>。</w:t>
      </w:r>
      <w:r>
        <w:rPr>
          <w:rFonts w:hint="eastAsia" w:ascii="微软雅黑" w:hAnsi="微软雅黑" w:eastAsia="微软雅黑" w:cs="微软雅黑"/>
          <w:color w:val="auto"/>
          <w:sz w:val="28"/>
          <w:szCs w:val="28"/>
          <w:highlight w:val="none"/>
        </w:rPr>
        <w:t>监督检查的结果将作为核拨项目资金和后续立项支持的重要参考依据。</w:t>
      </w:r>
    </w:p>
    <w:p w14:paraId="2E8CC1C2">
      <w:pPr>
        <w:pStyle w:val="7"/>
        <w:adjustRightInd w:val="0"/>
        <w:snapToGrid w:val="0"/>
        <w:spacing w:before="0" w:beforeAutospacing="0" w:after="0" w:afterAutospacing="0" w:line="360" w:lineRule="auto"/>
        <w:ind w:firstLine="560" w:firstLineChars="200"/>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在项目合同书条款明确，因故终止或未通过验收的项目，除确因客观原因外，项目主持人及相关责任人3年内不得申报农业科技创新项目，市农业农村委将在一定范围内通报；对存在未经批准擅自变更，以及不配合验收、不配合资金审计等严重违约行为的，终止项目实施，并追回项目已拨资金，阶段性或永久取消项目承担者项目申报资格。</w:t>
      </w:r>
    </w:p>
    <w:p w14:paraId="41CF320C">
      <w:pPr>
        <w:pStyle w:val="7"/>
        <w:adjustRightInd w:val="0"/>
        <w:snapToGrid w:val="0"/>
        <w:spacing w:before="0" w:beforeAutospacing="0" w:after="0" w:afterAutospacing="0" w:line="360" w:lineRule="auto"/>
        <w:ind w:firstLine="561" w:firstLineChars="200"/>
        <w:rPr>
          <w:rFonts w:hint="eastAsia" w:ascii="微软雅黑" w:hAnsi="微软雅黑" w:eastAsia="微软雅黑" w:cs="微软雅黑"/>
          <w:color w:val="auto"/>
          <w:sz w:val="28"/>
          <w:szCs w:val="28"/>
          <w:highlight w:val="none"/>
        </w:rPr>
      </w:pPr>
      <w:r>
        <w:rPr>
          <w:rStyle w:val="10"/>
          <w:rFonts w:hint="eastAsia" w:ascii="微软雅黑" w:hAnsi="微软雅黑" w:eastAsia="微软雅黑" w:cs="微软雅黑"/>
          <w:bCs/>
          <w:color w:val="auto"/>
          <w:sz w:val="28"/>
          <w:szCs w:val="28"/>
          <w:highlight w:val="none"/>
        </w:rPr>
        <w:t>第二十</w:t>
      </w:r>
      <w:r>
        <w:rPr>
          <w:rStyle w:val="10"/>
          <w:rFonts w:hint="eastAsia" w:ascii="微软雅黑" w:hAnsi="微软雅黑" w:eastAsia="微软雅黑" w:cs="微软雅黑"/>
          <w:bCs/>
          <w:color w:val="auto"/>
          <w:sz w:val="28"/>
          <w:szCs w:val="28"/>
          <w:highlight w:val="none"/>
          <w:lang w:eastAsia="zh-CN"/>
        </w:rPr>
        <w:t>三</w:t>
      </w:r>
      <w:r>
        <w:rPr>
          <w:rStyle w:val="10"/>
          <w:rFonts w:hint="eastAsia" w:ascii="微软雅黑" w:hAnsi="微软雅黑" w:eastAsia="微软雅黑" w:cs="微软雅黑"/>
          <w:bCs/>
          <w:color w:val="auto"/>
          <w:sz w:val="28"/>
          <w:szCs w:val="28"/>
          <w:highlight w:val="none"/>
        </w:rPr>
        <w:t>条</w:t>
      </w:r>
      <w:r>
        <w:rPr>
          <w:rFonts w:hint="eastAsia" w:ascii="微软雅黑" w:hAnsi="微软雅黑" w:eastAsia="微软雅黑" w:cs="微软雅黑"/>
          <w:color w:val="auto"/>
          <w:sz w:val="28"/>
          <w:szCs w:val="28"/>
          <w:highlight w:val="none"/>
        </w:rPr>
        <w:t>  承担单位、项目负责人存在第十七条所述违规行为的，市农业农村委、市财政局等部门将视情节轻重采取责令整改、约谈、通报批评、暂停项目拨款、终止项目执行、追回已拨资金、阶段性或永久取消项目承担者项目申报资格等措施，有关处理结果将依法向社会公开。涉嫌犯罪的，移送司法机关处理。</w:t>
      </w:r>
    </w:p>
    <w:p w14:paraId="0E8FB583">
      <w:pPr>
        <w:pStyle w:val="7"/>
        <w:adjustRightInd w:val="0"/>
        <w:snapToGrid w:val="0"/>
        <w:spacing w:before="0" w:beforeAutospacing="0" w:after="0" w:afterAutospacing="0" w:line="360" w:lineRule="auto"/>
        <w:ind w:firstLine="561" w:firstLineChars="200"/>
        <w:rPr>
          <w:rFonts w:hint="eastAsia" w:ascii="微软雅黑" w:hAnsi="微软雅黑" w:eastAsia="微软雅黑" w:cs="微软雅黑"/>
          <w:color w:val="auto"/>
          <w:sz w:val="28"/>
          <w:szCs w:val="28"/>
          <w:highlight w:val="none"/>
        </w:rPr>
      </w:pPr>
      <w:r>
        <w:rPr>
          <w:rStyle w:val="10"/>
          <w:rFonts w:hint="eastAsia" w:ascii="微软雅黑" w:hAnsi="微软雅黑" w:eastAsia="微软雅黑" w:cs="微软雅黑"/>
          <w:bCs/>
          <w:color w:val="auto"/>
          <w:sz w:val="28"/>
          <w:szCs w:val="28"/>
          <w:highlight w:val="none"/>
        </w:rPr>
        <w:t>第二十</w:t>
      </w:r>
      <w:r>
        <w:rPr>
          <w:rStyle w:val="10"/>
          <w:rFonts w:hint="eastAsia" w:ascii="微软雅黑" w:hAnsi="微软雅黑" w:eastAsia="微软雅黑" w:cs="微软雅黑"/>
          <w:bCs/>
          <w:color w:val="auto"/>
          <w:sz w:val="28"/>
          <w:szCs w:val="28"/>
          <w:highlight w:val="none"/>
          <w:lang w:eastAsia="zh-CN"/>
        </w:rPr>
        <w:t>四</w:t>
      </w:r>
      <w:r>
        <w:rPr>
          <w:rStyle w:val="10"/>
          <w:rFonts w:hint="eastAsia" w:ascii="微软雅黑" w:hAnsi="微软雅黑" w:eastAsia="微软雅黑" w:cs="微软雅黑"/>
          <w:bCs/>
          <w:color w:val="auto"/>
          <w:sz w:val="28"/>
          <w:szCs w:val="28"/>
          <w:highlight w:val="none"/>
        </w:rPr>
        <w:t>条</w:t>
      </w:r>
      <w:r>
        <w:rPr>
          <w:rFonts w:hint="eastAsia" w:ascii="微软雅黑" w:hAnsi="微软雅黑" w:eastAsia="微软雅黑" w:cs="微软雅黑"/>
          <w:color w:val="auto"/>
          <w:sz w:val="28"/>
          <w:szCs w:val="28"/>
          <w:highlight w:val="none"/>
        </w:rPr>
        <w:t>  涉密项目应严格按照《中华人民共和国保守国家秘密法》《科学技术保密规定》等相关法规执行。</w:t>
      </w:r>
    </w:p>
    <w:p w14:paraId="463F935D">
      <w:pPr>
        <w:pStyle w:val="7"/>
        <w:adjustRightInd w:val="0"/>
        <w:snapToGrid w:val="0"/>
        <w:spacing w:before="0" w:beforeAutospacing="0" w:after="0" w:afterAutospacing="0" w:line="360" w:lineRule="auto"/>
        <w:ind w:firstLine="561" w:firstLineChars="200"/>
        <w:rPr>
          <w:rFonts w:hint="eastAsia" w:ascii="微软雅黑" w:hAnsi="微软雅黑" w:eastAsia="微软雅黑" w:cs="微软雅黑"/>
          <w:color w:val="auto"/>
          <w:sz w:val="28"/>
          <w:szCs w:val="28"/>
          <w:highlight w:val="none"/>
        </w:rPr>
      </w:pPr>
      <w:r>
        <w:rPr>
          <w:rStyle w:val="10"/>
          <w:rFonts w:hint="eastAsia" w:ascii="微软雅黑" w:hAnsi="微软雅黑" w:eastAsia="微软雅黑" w:cs="微软雅黑"/>
          <w:bCs/>
          <w:color w:val="auto"/>
          <w:sz w:val="28"/>
          <w:szCs w:val="28"/>
          <w:highlight w:val="none"/>
        </w:rPr>
        <w:t>第二十</w:t>
      </w:r>
      <w:r>
        <w:rPr>
          <w:rStyle w:val="10"/>
          <w:rFonts w:hint="eastAsia" w:ascii="微软雅黑" w:hAnsi="微软雅黑" w:eastAsia="微软雅黑" w:cs="微软雅黑"/>
          <w:bCs/>
          <w:color w:val="auto"/>
          <w:sz w:val="28"/>
          <w:szCs w:val="28"/>
          <w:highlight w:val="none"/>
          <w:lang w:eastAsia="zh-CN"/>
        </w:rPr>
        <w:t>五</w:t>
      </w:r>
      <w:r>
        <w:rPr>
          <w:rStyle w:val="10"/>
          <w:rFonts w:hint="eastAsia" w:ascii="微软雅黑" w:hAnsi="微软雅黑" w:eastAsia="微软雅黑" w:cs="微软雅黑"/>
          <w:bCs/>
          <w:color w:val="auto"/>
          <w:sz w:val="28"/>
          <w:szCs w:val="28"/>
          <w:highlight w:val="none"/>
        </w:rPr>
        <w:t>条</w:t>
      </w:r>
      <w:r>
        <w:rPr>
          <w:rFonts w:hint="eastAsia" w:ascii="微软雅黑" w:hAnsi="微软雅黑" w:eastAsia="微软雅黑" w:cs="微软雅黑"/>
          <w:color w:val="auto"/>
          <w:sz w:val="28"/>
          <w:szCs w:val="28"/>
          <w:highlight w:val="none"/>
        </w:rPr>
        <w:t>  关键核心技术攻关及科技人才培育项目，如国家及本市另有规定或管理制度的，参照相关要求执行。</w:t>
      </w:r>
    </w:p>
    <w:p w14:paraId="2468A050">
      <w:pPr>
        <w:pStyle w:val="7"/>
        <w:adjustRightInd w:val="0"/>
        <w:snapToGrid w:val="0"/>
        <w:spacing w:before="0" w:beforeAutospacing="0" w:after="0" w:afterAutospacing="0" w:line="360" w:lineRule="auto"/>
        <w:ind w:firstLine="561" w:firstLineChars="200"/>
        <w:rPr>
          <w:rFonts w:hint="eastAsia" w:ascii="微软雅黑" w:hAnsi="微软雅黑" w:eastAsia="微软雅黑" w:cs="微软雅黑"/>
          <w:color w:val="auto"/>
          <w:sz w:val="28"/>
          <w:szCs w:val="28"/>
          <w:highlight w:val="none"/>
        </w:rPr>
      </w:pPr>
      <w:r>
        <w:rPr>
          <w:rStyle w:val="10"/>
          <w:rFonts w:hint="eastAsia" w:ascii="微软雅黑" w:hAnsi="微软雅黑" w:eastAsia="微软雅黑" w:cs="微软雅黑"/>
          <w:bCs/>
          <w:color w:val="auto"/>
          <w:sz w:val="28"/>
          <w:szCs w:val="28"/>
          <w:highlight w:val="none"/>
        </w:rPr>
        <w:t>第二十</w:t>
      </w:r>
      <w:r>
        <w:rPr>
          <w:rStyle w:val="10"/>
          <w:rFonts w:hint="eastAsia" w:ascii="微软雅黑" w:hAnsi="微软雅黑" w:eastAsia="微软雅黑" w:cs="微软雅黑"/>
          <w:bCs/>
          <w:color w:val="auto"/>
          <w:sz w:val="28"/>
          <w:szCs w:val="28"/>
          <w:highlight w:val="none"/>
          <w:lang w:eastAsia="zh-CN"/>
        </w:rPr>
        <w:t>六</w:t>
      </w:r>
      <w:r>
        <w:rPr>
          <w:rStyle w:val="10"/>
          <w:rFonts w:hint="eastAsia" w:ascii="微软雅黑" w:hAnsi="微软雅黑" w:eastAsia="微软雅黑" w:cs="微软雅黑"/>
          <w:bCs/>
          <w:color w:val="auto"/>
          <w:sz w:val="28"/>
          <w:szCs w:val="28"/>
          <w:highlight w:val="none"/>
        </w:rPr>
        <w:t>条</w:t>
      </w:r>
      <w:r>
        <w:rPr>
          <w:rFonts w:hint="eastAsia" w:ascii="微软雅黑" w:hAnsi="微软雅黑" w:eastAsia="微软雅黑" w:cs="微软雅黑"/>
          <w:color w:val="auto"/>
          <w:sz w:val="28"/>
          <w:szCs w:val="28"/>
          <w:highlight w:val="none"/>
        </w:rPr>
        <w:t>  加强科研诚信建设和信用管理。市农业农村委对项目承担单位、主持单位及协作单位</w:t>
      </w:r>
      <w:r>
        <w:rPr>
          <w:rFonts w:hint="eastAsia" w:ascii="微软雅黑" w:hAnsi="微软雅黑" w:eastAsia="微软雅黑" w:cs="微软雅黑"/>
          <w:color w:val="auto"/>
          <w:sz w:val="28"/>
          <w:szCs w:val="28"/>
          <w:highlight w:val="none"/>
          <w:lang w:bidi="ar"/>
        </w:rPr>
        <w:t>项目负责人</w:t>
      </w:r>
      <w:r>
        <w:rPr>
          <w:rFonts w:hint="eastAsia" w:ascii="微软雅黑" w:hAnsi="微软雅黑" w:eastAsia="微软雅黑" w:cs="微软雅黑"/>
          <w:color w:val="auto"/>
          <w:sz w:val="28"/>
          <w:szCs w:val="28"/>
          <w:highlight w:val="none"/>
        </w:rPr>
        <w:t>、专业机构、咨询、评审、验收专家等在专项实施和资金使用管理工作中的失信行为进行记录，作为今后项目申报、管理等的重要评价依据。</w:t>
      </w:r>
    </w:p>
    <w:p w14:paraId="584241F7">
      <w:pPr>
        <w:pStyle w:val="7"/>
        <w:adjustRightInd w:val="0"/>
        <w:snapToGrid w:val="0"/>
        <w:spacing w:before="0" w:beforeAutospacing="0" w:after="0" w:afterAutospacing="0" w:line="360" w:lineRule="auto"/>
        <w:ind w:firstLine="560" w:firstLineChars="200"/>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在项目立项及验收过程中，有关人员和单位有弄虚作假、徇私舞弊、玩忽职守、未经允许擅自披露、使用或向他人提供评审项目内容和验收项目成果等行为的，一经查实，将取消其参与农业科技创新项目各项任务和工作的资格，并依法追究责任。</w:t>
      </w:r>
      <w:r>
        <w:rPr>
          <w:rFonts w:hint="eastAsia" w:ascii="微软雅黑" w:hAnsi="微软雅黑" w:eastAsia="微软雅黑" w:cs="微软雅黑"/>
          <w:color w:val="auto"/>
          <w:sz w:val="28"/>
          <w:szCs w:val="28"/>
          <w:highlight w:val="none"/>
          <w:lang w:bidi="ar"/>
        </w:rPr>
        <w:t>无正当理由逾期不提交验收材料、不配合资金审计或在材料中弄虚作假的，视情节严重程度将违规单位或个人纳入科技信用记录。</w:t>
      </w:r>
    </w:p>
    <w:p w14:paraId="68C47D07">
      <w:pPr>
        <w:pStyle w:val="7"/>
        <w:adjustRightInd w:val="0"/>
        <w:snapToGrid w:val="0"/>
        <w:spacing w:before="0" w:beforeAutospacing="0" w:after="0" w:afterAutospacing="0" w:line="360" w:lineRule="auto"/>
        <w:ind w:firstLine="561" w:firstLineChars="200"/>
        <w:rPr>
          <w:rFonts w:hint="eastAsia" w:ascii="微软雅黑" w:hAnsi="微软雅黑" w:eastAsia="微软雅黑" w:cs="微软雅黑"/>
          <w:color w:val="auto"/>
          <w:sz w:val="28"/>
          <w:szCs w:val="28"/>
          <w:highlight w:val="none"/>
        </w:rPr>
      </w:pPr>
      <w:r>
        <w:rPr>
          <w:rStyle w:val="10"/>
          <w:rFonts w:hint="eastAsia" w:ascii="微软雅黑" w:hAnsi="微软雅黑" w:eastAsia="微软雅黑" w:cs="微软雅黑"/>
          <w:bCs/>
          <w:color w:val="auto"/>
          <w:sz w:val="28"/>
          <w:szCs w:val="28"/>
          <w:highlight w:val="none"/>
        </w:rPr>
        <w:t>第二十</w:t>
      </w:r>
      <w:r>
        <w:rPr>
          <w:rStyle w:val="10"/>
          <w:rFonts w:hint="eastAsia" w:ascii="微软雅黑" w:hAnsi="微软雅黑" w:eastAsia="微软雅黑" w:cs="微软雅黑"/>
          <w:bCs/>
          <w:color w:val="auto"/>
          <w:sz w:val="28"/>
          <w:szCs w:val="28"/>
          <w:highlight w:val="none"/>
          <w:lang w:eastAsia="zh-CN"/>
        </w:rPr>
        <w:t>七</w:t>
      </w:r>
      <w:r>
        <w:rPr>
          <w:rStyle w:val="10"/>
          <w:rFonts w:hint="eastAsia" w:ascii="微软雅黑" w:hAnsi="微软雅黑" w:eastAsia="微软雅黑" w:cs="微软雅黑"/>
          <w:bCs/>
          <w:color w:val="auto"/>
          <w:sz w:val="28"/>
          <w:szCs w:val="28"/>
          <w:highlight w:val="none"/>
        </w:rPr>
        <w:t>条</w:t>
      </w:r>
      <w:r>
        <w:rPr>
          <w:rFonts w:hint="eastAsia" w:ascii="微软雅黑" w:hAnsi="微软雅黑" w:eastAsia="微软雅黑" w:cs="微软雅黑"/>
          <w:color w:val="auto"/>
          <w:sz w:val="28"/>
          <w:szCs w:val="28"/>
          <w:highlight w:val="none"/>
        </w:rPr>
        <w:t>  加强农业科技创新项目资金绩效管理。对项目资金使用情况开展绩效评价，并根据工作需要开展项目实施效果评估，以规模化应用、行业内推广、成果转移转化为导向，重点评价项目实施后的集成性、先进性、经济适用性、辐射带动作用及产生的经济社会效益等。</w:t>
      </w:r>
    </w:p>
    <w:p w14:paraId="5CCFCEF2">
      <w:pPr>
        <w:pStyle w:val="7"/>
        <w:adjustRightInd w:val="0"/>
        <w:snapToGrid w:val="0"/>
        <w:spacing w:before="0" w:beforeAutospacing="0" w:after="0" w:afterAutospacing="0" w:line="360" w:lineRule="auto"/>
        <w:ind w:firstLine="561" w:firstLineChars="200"/>
        <w:rPr>
          <w:rFonts w:hint="eastAsia" w:ascii="微软雅黑" w:hAnsi="微软雅黑" w:eastAsia="微软雅黑" w:cs="微软雅黑"/>
          <w:color w:val="auto"/>
          <w:sz w:val="28"/>
          <w:szCs w:val="28"/>
          <w:highlight w:val="none"/>
        </w:rPr>
      </w:pPr>
      <w:r>
        <w:rPr>
          <w:rStyle w:val="10"/>
          <w:rFonts w:hint="eastAsia" w:ascii="微软雅黑" w:hAnsi="微软雅黑" w:eastAsia="微软雅黑" w:cs="微软雅黑"/>
          <w:bCs/>
          <w:color w:val="auto"/>
          <w:sz w:val="28"/>
          <w:szCs w:val="28"/>
          <w:highlight w:val="none"/>
        </w:rPr>
        <w:t>第二十</w:t>
      </w:r>
      <w:r>
        <w:rPr>
          <w:rStyle w:val="10"/>
          <w:rFonts w:hint="eastAsia" w:ascii="微软雅黑" w:hAnsi="微软雅黑" w:eastAsia="微软雅黑" w:cs="微软雅黑"/>
          <w:bCs/>
          <w:color w:val="auto"/>
          <w:sz w:val="28"/>
          <w:szCs w:val="28"/>
          <w:highlight w:val="none"/>
          <w:lang w:eastAsia="zh-CN"/>
        </w:rPr>
        <w:t>八</w:t>
      </w:r>
      <w:r>
        <w:rPr>
          <w:rStyle w:val="10"/>
          <w:rFonts w:hint="eastAsia" w:ascii="微软雅黑" w:hAnsi="微软雅黑" w:eastAsia="微软雅黑" w:cs="微软雅黑"/>
          <w:bCs/>
          <w:color w:val="auto"/>
          <w:sz w:val="28"/>
          <w:szCs w:val="28"/>
          <w:highlight w:val="none"/>
        </w:rPr>
        <w:t>条</w:t>
      </w:r>
      <w:r>
        <w:rPr>
          <w:rFonts w:hint="eastAsia" w:ascii="微软雅黑" w:hAnsi="微软雅黑" w:eastAsia="微软雅黑" w:cs="微软雅黑"/>
          <w:color w:val="auto"/>
          <w:sz w:val="28"/>
          <w:szCs w:val="28"/>
          <w:highlight w:val="none"/>
        </w:rPr>
        <w:t>  市农业农村委按照国家和本市政府信息公开的有关要求，公开农业科技创新项目资金的立项政策、申请条件、评审标准、程序和结果等情况，接受社会监督。</w:t>
      </w:r>
    </w:p>
    <w:p w14:paraId="6C6F94AD">
      <w:pPr>
        <w:pStyle w:val="7"/>
        <w:adjustRightInd w:val="0"/>
        <w:snapToGrid w:val="0"/>
        <w:spacing w:before="0" w:beforeAutospacing="0" w:after="0" w:afterAutospacing="0" w:line="360" w:lineRule="auto"/>
        <w:ind w:firstLine="561" w:firstLineChars="200"/>
        <w:rPr>
          <w:rFonts w:hint="eastAsia" w:ascii="微软雅黑" w:hAnsi="微软雅黑" w:eastAsia="微软雅黑" w:cs="微软雅黑"/>
          <w:color w:val="auto"/>
          <w:sz w:val="28"/>
          <w:szCs w:val="28"/>
          <w:highlight w:val="none"/>
        </w:rPr>
      </w:pPr>
      <w:r>
        <w:rPr>
          <w:rStyle w:val="10"/>
          <w:rFonts w:hint="eastAsia" w:ascii="微软雅黑" w:hAnsi="微软雅黑" w:eastAsia="微软雅黑" w:cs="微软雅黑"/>
          <w:bCs/>
          <w:color w:val="auto"/>
          <w:sz w:val="28"/>
          <w:szCs w:val="28"/>
          <w:highlight w:val="none"/>
        </w:rPr>
        <w:t>第六章  附则</w:t>
      </w:r>
    </w:p>
    <w:p w14:paraId="7AE47609">
      <w:pPr>
        <w:pStyle w:val="7"/>
        <w:adjustRightInd w:val="0"/>
        <w:snapToGrid w:val="0"/>
        <w:spacing w:before="0" w:beforeAutospacing="0" w:after="0" w:afterAutospacing="0" w:line="360" w:lineRule="auto"/>
        <w:ind w:firstLine="561" w:firstLineChars="200"/>
        <w:rPr>
          <w:rFonts w:hint="eastAsia" w:ascii="微软雅黑" w:hAnsi="微软雅黑" w:eastAsia="微软雅黑" w:cs="微软雅黑"/>
          <w:color w:val="auto"/>
          <w:sz w:val="28"/>
          <w:szCs w:val="28"/>
          <w:highlight w:val="none"/>
        </w:rPr>
      </w:pPr>
      <w:r>
        <w:rPr>
          <w:rStyle w:val="10"/>
          <w:rFonts w:hint="eastAsia" w:ascii="微软雅黑" w:hAnsi="微软雅黑" w:eastAsia="微软雅黑" w:cs="微软雅黑"/>
          <w:bCs/>
          <w:color w:val="auto"/>
          <w:sz w:val="28"/>
          <w:szCs w:val="28"/>
          <w:highlight w:val="none"/>
        </w:rPr>
        <w:t>第</w:t>
      </w:r>
      <w:r>
        <w:rPr>
          <w:rStyle w:val="10"/>
          <w:rFonts w:hint="eastAsia" w:ascii="微软雅黑" w:hAnsi="微软雅黑" w:eastAsia="微软雅黑" w:cs="微软雅黑"/>
          <w:bCs/>
          <w:color w:val="auto"/>
          <w:sz w:val="28"/>
          <w:szCs w:val="28"/>
          <w:highlight w:val="none"/>
          <w:lang w:eastAsia="zh-CN"/>
        </w:rPr>
        <w:t>二十九</w:t>
      </w:r>
      <w:r>
        <w:rPr>
          <w:rStyle w:val="10"/>
          <w:rFonts w:hint="eastAsia" w:ascii="微软雅黑" w:hAnsi="微软雅黑" w:eastAsia="微软雅黑" w:cs="微软雅黑"/>
          <w:bCs/>
          <w:color w:val="auto"/>
          <w:sz w:val="28"/>
          <w:szCs w:val="28"/>
          <w:highlight w:val="none"/>
        </w:rPr>
        <w:t>条</w:t>
      </w:r>
      <w:r>
        <w:rPr>
          <w:rFonts w:hint="eastAsia" w:ascii="微软雅黑" w:hAnsi="微软雅黑" w:eastAsia="微软雅黑" w:cs="微软雅黑"/>
          <w:color w:val="auto"/>
          <w:sz w:val="28"/>
          <w:szCs w:val="28"/>
          <w:highlight w:val="none"/>
        </w:rPr>
        <w:t>  本细则由市农业农村委会同市财政局负责解释。</w:t>
      </w:r>
    </w:p>
    <w:p w14:paraId="15164498">
      <w:pPr>
        <w:pStyle w:val="7"/>
        <w:adjustRightInd w:val="0"/>
        <w:snapToGrid w:val="0"/>
        <w:spacing w:before="0" w:beforeAutospacing="0" w:after="0" w:afterAutospacing="0" w:line="360" w:lineRule="auto"/>
        <w:ind w:firstLine="561" w:firstLineChars="200"/>
        <w:rPr>
          <w:color w:val="auto"/>
          <w:sz w:val="28"/>
          <w:szCs w:val="28"/>
          <w:highlight w:val="none"/>
        </w:rPr>
      </w:pPr>
      <w:r>
        <w:rPr>
          <w:rStyle w:val="10"/>
          <w:rFonts w:hint="eastAsia" w:ascii="微软雅黑" w:hAnsi="微软雅黑" w:eastAsia="微软雅黑" w:cs="微软雅黑"/>
          <w:bCs/>
          <w:color w:val="auto"/>
          <w:sz w:val="28"/>
          <w:szCs w:val="28"/>
          <w:highlight w:val="none"/>
        </w:rPr>
        <w:t>第三十条</w:t>
      </w:r>
      <w:r>
        <w:rPr>
          <w:rFonts w:hint="eastAsia" w:ascii="微软雅黑" w:hAnsi="微软雅黑" w:eastAsia="微软雅黑" w:cs="微软雅黑"/>
          <w:color w:val="auto"/>
          <w:sz w:val="28"/>
          <w:szCs w:val="28"/>
          <w:highlight w:val="none"/>
        </w:rPr>
        <w:t>  </w:t>
      </w:r>
      <w:r>
        <w:rPr>
          <w:rFonts w:hint="eastAsia" w:ascii="微软雅黑" w:hAnsi="微软雅黑" w:eastAsia="微软雅黑" w:cs="微软雅黑"/>
          <w:color w:val="auto"/>
          <w:sz w:val="28"/>
          <w:szCs w:val="28"/>
          <w:highlight w:val="none"/>
          <w:lang w:bidi="ar"/>
        </w:rPr>
        <w:t xml:space="preserve"> 本细则自</w:t>
      </w:r>
      <w:r>
        <w:rPr>
          <w:rFonts w:hint="eastAsia" w:ascii="微软雅黑" w:hAnsi="微软雅黑" w:eastAsia="微软雅黑" w:cs="微软雅黑"/>
          <w:color w:val="auto"/>
          <w:sz w:val="28"/>
          <w:szCs w:val="28"/>
          <w:highlight w:val="none"/>
          <w:lang w:val="en-US" w:eastAsia="zh-CN" w:bidi="ar"/>
        </w:rPr>
        <w:t>发布之</w:t>
      </w:r>
      <w:r>
        <w:rPr>
          <w:rFonts w:hint="eastAsia" w:ascii="微软雅黑" w:hAnsi="微软雅黑" w:eastAsia="微软雅黑" w:cs="微软雅黑"/>
          <w:color w:val="auto"/>
          <w:sz w:val="28"/>
          <w:szCs w:val="28"/>
          <w:highlight w:val="none"/>
          <w:lang w:bidi="ar"/>
        </w:rPr>
        <w:t>日起施行，有效期</w:t>
      </w:r>
      <w:r>
        <w:rPr>
          <w:rFonts w:hint="eastAsia" w:ascii="微软雅黑" w:hAnsi="微软雅黑" w:eastAsia="微软雅黑" w:cs="微软雅黑"/>
          <w:color w:val="auto"/>
          <w:sz w:val="28"/>
          <w:szCs w:val="28"/>
          <w:highlight w:val="none"/>
          <w:lang w:val="en-US" w:eastAsia="zh-CN" w:bidi="ar"/>
        </w:rPr>
        <w:t>5年</w:t>
      </w:r>
      <w:r>
        <w:rPr>
          <w:rFonts w:hint="eastAsia" w:ascii="微软雅黑" w:hAnsi="微软雅黑" w:eastAsia="微软雅黑" w:cs="微软雅黑"/>
          <w:color w:val="auto"/>
          <w:sz w:val="28"/>
          <w:szCs w:val="28"/>
          <w:highlight w:val="none"/>
          <w:lang w:bidi="ar"/>
        </w:rPr>
        <w:t>。《上海市农业科技创新项目及资金管理细则（试行）》（沪农委规〔2023〕8号）同时废止。已立项实施的项目，在不改变项目合同和任务书的前提下，参照本细则管理。</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altName w:val="Calibri"/>
    <w:panose1 w:val="020F0302020204030204"/>
    <w:charset w:val="00"/>
    <w:family w:val="swiss"/>
    <w:pitch w:val="default"/>
    <w:sig w:usb0="00000000" w:usb1="00000000" w:usb2="00000009" w:usb3="00000000" w:csb0="200001FF" w:csb1="00000000"/>
  </w:font>
  <w:font w:name="微软雅黑">
    <w:altName w:val="汉仪旗黑KW 55S"/>
    <w:panose1 w:val="020B0503020204020204"/>
    <w:charset w:val="86"/>
    <w:family w:val="swiss"/>
    <w:pitch w:val="default"/>
    <w:sig w:usb0="00000000" w:usb1="00000000" w:usb2="00000016" w:usb3="00000000" w:csb0="0004001F" w:csb1="00000000"/>
  </w:font>
  <w:font w:name="汉仪旗黑KW 55S">
    <w:panose1 w:val="00020600040101010101"/>
    <w:charset w:val="86"/>
    <w:family w:val="auto"/>
    <w:pitch w:val="default"/>
    <w:sig w:usb0="A00002BF" w:usb1="3ACF7CFA" w:usb2="00000016" w:usb3="00000000" w:csb0="0004009F" w:csb1="DFD7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67BB1">
    <w:pPr>
      <w:pStyle w:val="5"/>
    </w:pPr>
    <w:bookmarkStart w:id="2" w:name="_GoBack"/>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88E729">
                          <w:pPr>
                            <w:pStyle w:val="5"/>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088E729">
                    <w:pPr>
                      <w:pStyle w:val="5"/>
                    </w:pPr>
                    <w:r>
                      <w:fldChar w:fldCharType="begin"/>
                    </w:r>
                    <w:r>
                      <w:instrText xml:space="preserve"> PAGE  \* MERGEFORMAT </w:instrText>
                    </w:r>
                    <w:r>
                      <w:fldChar w:fldCharType="separate"/>
                    </w:r>
                    <w:r>
                      <w:t>3</w:t>
                    </w:r>
                    <w:r>
                      <w:fldChar w:fldCharType="end"/>
                    </w:r>
                  </w:p>
                </w:txbxContent>
              </v:textbox>
            </v:shape>
          </w:pict>
        </mc:Fallback>
      </mc:AlternateContent>
    </w:r>
    <w:bookmarkEnd w:id="2"/>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FF2527"/>
    <w:multiLevelType w:val="singleLevel"/>
    <w:tmpl w:val="E7FF252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iYjNhYjJlYTUyYzIwOWRhMmE0NjZiMDlmNmE0MWMifQ=="/>
  </w:docVars>
  <w:rsids>
    <w:rsidRoot w:val="00925DA9"/>
    <w:rsid w:val="00085B9C"/>
    <w:rsid w:val="00134A76"/>
    <w:rsid w:val="00172B5C"/>
    <w:rsid w:val="002806E1"/>
    <w:rsid w:val="002D6D0D"/>
    <w:rsid w:val="002F20FB"/>
    <w:rsid w:val="003C1B5B"/>
    <w:rsid w:val="00433601"/>
    <w:rsid w:val="004804C8"/>
    <w:rsid w:val="00795DF8"/>
    <w:rsid w:val="00831942"/>
    <w:rsid w:val="00836C25"/>
    <w:rsid w:val="008A018D"/>
    <w:rsid w:val="00925DA9"/>
    <w:rsid w:val="00A647FB"/>
    <w:rsid w:val="00AB7BC4"/>
    <w:rsid w:val="00B82C93"/>
    <w:rsid w:val="00BD435F"/>
    <w:rsid w:val="00BF359F"/>
    <w:rsid w:val="00BF3C34"/>
    <w:rsid w:val="00DE029A"/>
    <w:rsid w:val="00E64BA1"/>
    <w:rsid w:val="00F6078B"/>
    <w:rsid w:val="02DC1699"/>
    <w:rsid w:val="03254096"/>
    <w:rsid w:val="0504615D"/>
    <w:rsid w:val="068A75E6"/>
    <w:rsid w:val="07036CFA"/>
    <w:rsid w:val="07EA2C20"/>
    <w:rsid w:val="07F12DD4"/>
    <w:rsid w:val="09013AD8"/>
    <w:rsid w:val="090221EB"/>
    <w:rsid w:val="0DF556C5"/>
    <w:rsid w:val="12E42CBD"/>
    <w:rsid w:val="14E77E24"/>
    <w:rsid w:val="161C43CA"/>
    <w:rsid w:val="191D7F60"/>
    <w:rsid w:val="1BD6F5CC"/>
    <w:rsid w:val="1C5013CF"/>
    <w:rsid w:val="1C7F0CB0"/>
    <w:rsid w:val="1C9931ED"/>
    <w:rsid w:val="1CBA477F"/>
    <w:rsid w:val="1D01483C"/>
    <w:rsid w:val="1F9C6A9E"/>
    <w:rsid w:val="204F1D62"/>
    <w:rsid w:val="20D12777"/>
    <w:rsid w:val="214E16C8"/>
    <w:rsid w:val="21E2331B"/>
    <w:rsid w:val="24284159"/>
    <w:rsid w:val="25163E70"/>
    <w:rsid w:val="255969F2"/>
    <w:rsid w:val="26620A3D"/>
    <w:rsid w:val="27333B64"/>
    <w:rsid w:val="28885E11"/>
    <w:rsid w:val="28A434FD"/>
    <w:rsid w:val="29B669AE"/>
    <w:rsid w:val="2B79B514"/>
    <w:rsid w:val="2CFFE556"/>
    <w:rsid w:val="2D216834"/>
    <w:rsid w:val="2D90100E"/>
    <w:rsid w:val="2E894691"/>
    <w:rsid w:val="2F2A3765"/>
    <w:rsid w:val="2F5243E6"/>
    <w:rsid w:val="2F9FE429"/>
    <w:rsid w:val="31657B93"/>
    <w:rsid w:val="32372888"/>
    <w:rsid w:val="32380C9C"/>
    <w:rsid w:val="336F5254"/>
    <w:rsid w:val="34D90A42"/>
    <w:rsid w:val="359009FB"/>
    <w:rsid w:val="35FFDBA6"/>
    <w:rsid w:val="367E5F1A"/>
    <w:rsid w:val="379739FE"/>
    <w:rsid w:val="37AD6D21"/>
    <w:rsid w:val="39732C58"/>
    <w:rsid w:val="3C855B68"/>
    <w:rsid w:val="3D851B1D"/>
    <w:rsid w:val="3F087ECF"/>
    <w:rsid w:val="3F20529B"/>
    <w:rsid w:val="3F7153F9"/>
    <w:rsid w:val="3FDF35EB"/>
    <w:rsid w:val="3FEE0B6D"/>
    <w:rsid w:val="41276A82"/>
    <w:rsid w:val="41F550AC"/>
    <w:rsid w:val="43670011"/>
    <w:rsid w:val="43993170"/>
    <w:rsid w:val="4409431A"/>
    <w:rsid w:val="457C42BA"/>
    <w:rsid w:val="46AB1E27"/>
    <w:rsid w:val="46B9720B"/>
    <w:rsid w:val="484E277B"/>
    <w:rsid w:val="48B4256F"/>
    <w:rsid w:val="4C251A45"/>
    <w:rsid w:val="4C451F44"/>
    <w:rsid w:val="4C7D5974"/>
    <w:rsid w:val="4F255CDD"/>
    <w:rsid w:val="4FDDC9AB"/>
    <w:rsid w:val="507B1DB1"/>
    <w:rsid w:val="50AC27B1"/>
    <w:rsid w:val="544348F1"/>
    <w:rsid w:val="567FAA42"/>
    <w:rsid w:val="577062E9"/>
    <w:rsid w:val="59275532"/>
    <w:rsid w:val="5A0821B2"/>
    <w:rsid w:val="5A236E45"/>
    <w:rsid w:val="5A8E4EA1"/>
    <w:rsid w:val="5D36FD85"/>
    <w:rsid w:val="5FFF5B83"/>
    <w:rsid w:val="61646FA9"/>
    <w:rsid w:val="65836E24"/>
    <w:rsid w:val="65842EE1"/>
    <w:rsid w:val="669676D4"/>
    <w:rsid w:val="677130A1"/>
    <w:rsid w:val="6777D21E"/>
    <w:rsid w:val="684574DE"/>
    <w:rsid w:val="68DE5A99"/>
    <w:rsid w:val="6A100433"/>
    <w:rsid w:val="6B471C08"/>
    <w:rsid w:val="6BF5BF87"/>
    <w:rsid w:val="6C94269D"/>
    <w:rsid w:val="6E1110D6"/>
    <w:rsid w:val="6EEF30F4"/>
    <w:rsid w:val="6FF7C37E"/>
    <w:rsid w:val="71C0008D"/>
    <w:rsid w:val="73BF11B2"/>
    <w:rsid w:val="73F22624"/>
    <w:rsid w:val="73FF66E3"/>
    <w:rsid w:val="756F0956"/>
    <w:rsid w:val="75ED1C8A"/>
    <w:rsid w:val="79CA1A6F"/>
    <w:rsid w:val="79FCC450"/>
    <w:rsid w:val="79FF1963"/>
    <w:rsid w:val="7AD03284"/>
    <w:rsid w:val="7B4C6637"/>
    <w:rsid w:val="7B770B57"/>
    <w:rsid w:val="7BFA8D36"/>
    <w:rsid w:val="7BFDCA75"/>
    <w:rsid w:val="7E1471F2"/>
    <w:rsid w:val="7EFF7BFA"/>
    <w:rsid w:val="7F637480"/>
    <w:rsid w:val="7FDA9758"/>
    <w:rsid w:val="7FFDEC5D"/>
    <w:rsid w:val="86790F13"/>
    <w:rsid w:val="8BF4AFAD"/>
    <w:rsid w:val="97DE1814"/>
    <w:rsid w:val="9D7E0489"/>
    <w:rsid w:val="9EF71D58"/>
    <w:rsid w:val="BBFF046B"/>
    <w:rsid w:val="BC424829"/>
    <w:rsid w:val="BCEE01C9"/>
    <w:rsid w:val="BEFDC031"/>
    <w:rsid w:val="C5D5893E"/>
    <w:rsid w:val="D57F7BD2"/>
    <w:rsid w:val="DB7F1F20"/>
    <w:rsid w:val="E3DBD178"/>
    <w:rsid w:val="EBEF2D03"/>
    <w:rsid w:val="EBFD00B6"/>
    <w:rsid w:val="EF1DFBE9"/>
    <w:rsid w:val="EF3ECC4D"/>
    <w:rsid w:val="EFDB6365"/>
    <w:rsid w:val="F7BF27CE"/>
    <w:rsid w:val="F9ABD363"/>
    <w:rsid w:val="F9EE927C"/>
    <w:rsid w:val="FB7550DF"/>
    <w:rsid w:val="FBFBD33F"/>
    <w:rsid w:val="FCDC09D8"/>
    <w:rsid w:val="FEBE3E78"/>
    <w:rsid w:val="FEF737C4"/>
    <w:rsid w:val="FF3FBD78"/>
    <w:rsid w:val="FF5FEE2C"/>
    <w:rsid w:val="FFFD8731"/>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libri Light" w:hAnsi="Calibri Light" w:eastAsia="宋体" w:cs="Times New Roman"/>
      <w:b/>
      <w:bCs/>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rPr>
      <w:rFonts w:ascii="Calibri" w:hAnsi="Calibri"/>
      <w:sz w:val="36"/>
      <w:szCs w:val="44"/>
    </w:rPr>
  </w:style>
  <w:style w:type="paragraph" w:styleId="4">
    <w:name w:val="Balloon Text"/>
    <w:basedOn w:val="1"/>
    <w:link w:val="11"/>
    <w:qFormat/>
    <w:uiPriority w:val="0"/>
    <w:rPr>
      <w:sz w:val="18"/>
      <w:szCs w:val="18"/>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Strong"/>
    <w:qFormat/>
    <w:uiPriority w:val="0"/>
    <w:rPr>
      <w:b/>
    </w:rPr>
  </w:style>
  <w:style w:type="character" w:customStyle="1" w:styleId="11">
    <w:name w:val="批注框文本 Char"/>
    <w:link w:val="4"/>
    <w:qFormat/>
    <w:uiPriority w:val="0"/>
    <w:rPr>
      <w:rFonts w:ascii="Calibri" w:hAnsi="Calibri"/>
      <w:kern w:val="2"/>
      <w:sz w:val="18"/>
      <w:szCs w:val="18"/>
    </w:rPr>
  </w:style>
  <w:style w:type="character" w:customStyle="1" w:styleId="12">
    <w:name w:val="页脚 Char"/>
    <w:link w:val="5"/>
    <w:qFormat/>
    <w:uiPriority w:val="0"/>
    <w:rPr>
      <w:rFonts w:ascii="Calibri" w:hAnsi="Calibri"/>
      <w:kern w:val="2"/>
      <w:sz w:val="18"/>
      <w:szCs w:val="18"/>
    </w:rPr>
  </w:style>
  <w:style w:type="character" w:customStyle="1" w:styleId="13">
    <w:name w:val="页眉 Char"/>
    <w:link w:val="6"/>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20</Pages>
  <Words>9425</Words>
  <Characters>9484</Characters>
  <Lines>72</Lines>
  <Paragraphs>20</Paragraphs>
  <TotalTime>23</TotalTime>
  <ScaleCrop>false</ScaleCrop>
  <LinksUpToDate>false</LinksUpToDate>
  <CharactersWithSpaces>9578</CharactersWithSpaces>
  <Application>WPS Office WWO_wpscloud_20250424194433-d21c6c7b9b</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2024-08-16T02:23:00Z</dcterms:created>
  <dc:creator>Lenovo</dc:creator>
  <cp:lastModifiedBy>webword_1521573436</cp:lastModifiedBy>
  <cp:lastPrinted>2025-07-11T09:42:00Z</cp:lastPrinted>
  <dcterms:modified xsi:type="dcterms:W3CDTF">2025-07-15T14:30:55Z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926C5B68B2B9F9729FF57568022DF060_43</vt:lpwstr>
  </property>
  <property fmtid="{D5CDD505-2E9C-101B-9397-08002B2CF9AE}" pid="4" name="KSOTemplateDocerSaveRecord">
    <vt:lpwstr>eyJoZGlkIjoiMzEwNTM5NzYwMDRjMzkwZTVkZjY2ODkwMGIxNGU0OTUiLCJ1c2VySWQiOiIzNTIyMjc4MzIifQ==</vt:lpwstr>
  </property>
</Properties>
</file>