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CE985">
      <w:pPr>
        <w:keepNext w:val="0"/>
        <w:keepLines w:val="0"/>
        <w:pageBreakBefore w:val="0"/>
        <w:widowControl w:val="0"/>
        <w:kinsoku/>
        <w:wordWrap/>
        <w:overflowPunct/>
        <w:topLinePunct w:val="0"/>
        <w:autoSpaceDE/>
        <w:bidi w:val="0"/>
        <w:adjustRightInd w:val="0"/>
        <w:snapToGrid w:val="0"/>
        <w:spacing w:after="0" w:line="600" w:lineRule="exact"/>
        <w:ind w:left="0" w:leftChars="0" w:right="0" w:rightChars="0"/>
        <w:jc w:val="center"/>
        <w:textAlignment w:val="auto"/>
        <w:outlineLvl w:val="9"/>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上海市发展智慧农业实施方案（2025</w:t>
      </w:r>
      <w:r>
        <w:rPr>
          <w:rFonts w:hint="eastAsia" w:ascii="方正小标宋简体" w:hAnsi="方正小标宋简体" w:eastAsia="方正小标宋简体" w:cs="方正小标宋简体"/>
          <w:bCs/>
          <w:sz w:val="36"/>
          <w:szCs w:val="36"/>
          <w:lang w:eastAsia="zh"/>
          <w:woUserID w:val="3"/>
        </w:rPr>
        <w:t>—</w:t>
      </w:r>
      <w:r>
        <w:rPr>
          <w:rFonts w:hint="eastAsia" w:ascii="方正小标宋简体" w:hAnsi="方正小标宋简体" w:eastAsia="方正小标宋简体" w:cs="方正小标宋简体"/>
          <w:bCs/>
          <w:sz w:val="36"/>
          <w:szCs w:val="36"/>
        </w:rPr>
        <w:t>2028年）</w:t>
      </w:r>
    </w:p>
    <w:p w14:paraId="48871CBA">
      <w:pPr>
        <w:pStyle w:val="3"/>
        <w:keepNext w:val="0"/>
        <w:keepLines w:val="0"/>
        <w:pageBreakBefore w:val="0"/>
        <w:widowControl w:val="0"/>
        <w:kinsoku/>
        <w:wordWrap/>
        <w:overflowPunct/>
        <w:topLinePunct w:val="0"/>
        <w:autoSpaceDE/>
        <w:bidi w:val="0"/>
        <w:spacing w:after="0" w:line="600" w:lineRule="exact"/>
        <w:ind w:left="0" w:leftChars="0" w:right="0" w:rightChars="0" w:firstLine="640"/>
        <w:textAlignment w:val="auto"/>
        <w:outlineLvl w:val="9"/>
        <w:rPr>
          <w:rFonts w:ascii="仿宋_GB2312" w:eastAsia="仿宋_GB2312"/>
          <w:sz w:val="32"/>
          <w:szCs w:val="32"/>
        </w:rPr>
      </w:pPr>
    </w:p>
    <w:p w14:paraId="55FA865B">
      <w:pPr>
        <w:pStyle w:val="3"/>
        <w:keepNext w:val="0"/>
        <w:keepLines w:val="0"/>
        <w:pageBreakBefore w:val="0"/>
        <w:widowControl w:val="0"/>
        <w:kinsoku/>
        <w:wordWrap/>
        <w:overflowPunct/>
        <w:topLinePunct w:val="0"/>
        <w:autoSpaceDE/>
        <w:bidi w:val="0"/>
        <w:spacing w:after="0" w:line="600" w:lineRule="exact"/>
        <w:ind w:left="0" w:leftChars="0" w:right="0" w:rightChars="0" w:firstLine="640"/>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为贯彻落实农业农村部《关于大力发展智慧农业的指导意见》（农市发〔2024〕3号）、《全国智慧农业行动计划（2024-2028年）》（农市发〔2024〕4号）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文件要求，全面推进上海智慧农业发展，制定本实施方案。</w:t>
      </w:r>
    </w:p>
    <w:p w14:paraId="5DDF3A76">
      <w:pPr>
        <w:pStyle w:val="3"/>
        <w:keepNext w:val="0"/>
        <w:keepLines w:val="0"/>
        <w:pageBreakBefore w:val="0"/>
        <w:widowControl w:val="0"/>
        <w:kinsoku/>
        <w:wordWrap/>
        <w:overflowPunct/>
        <w:topLinePunct w:val="0"/>
        <w:autoSpaceDE/>
        <w:bidi w:val="0"/>
        <w:spacing w:after="0" w:line="600" w:lineRule="exact"/>
        <w:ind w:left="0" w:leftChars="0" w:right="0" w:rightChars="0" w:firstLine="640"/>
        <w:textAlignment w:val="auto"/>
        <w:outlineLvl w:val="9"/>
        <w:rPr>
          <w:rFonts w:hint="eastAsia" w:ascii="黑体" w:hAnsi="黑体" w:eastAsia="黑体" w:cs="黑体"/>
          <w:sz w:val="32"/>
          <w:szCs w:val="32"/>
        </w:rPr>
      </w:pPr>
      <w:r>
        <w:rPr>
          <w:rFonts w:hint="eastAsia" w:ascii="黑体" w:hAnsi="黑体" w:eastAsia="黑体" w:cs="黑体"/>
          <w:sz w:val="32"/>
          <w:szCs w:val="32"/>
        </w:rPr>
        <w:t>一、工作目标</w:t>
      </w:r>
    </w:p>
    <w:p w14:paraId="132426E6">
      <w:pPr>
        <w:pStyle w:val="3"/>
        <w:keepNext w:val="0"/>
        <w:keepLines w:val="0"/>
        <w:pageBreakBefore w:val="0"/>
        <w:widowControl w:val="0"/>
        <w:kinsoku/>
        <w:wordWrap/>
        <w:overflowPunct/>
        <w:topLinePunct w:val="0"/>
        <w:autoSpaceDE/>
        <w:bidi w:val="0"/>
        <w:spacing w:after="0" w:line="60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整体谋划、创新驱动、服务引领、转型发展”基本原则，发挥创新链、资金链、人才链等优势，推动人工智能、物联网、大数据、区块链、隐私计算等信息技术与农业生产深度融合，促进智慧农业健康有序发展。到2028年底，建立上海农业数据分级分类体系，“图库”底座应用服务能力全面提升，“码链”深化应用；培育1-2家国家级专精特新“小巨人”企业，形成10项以上引领性技术和产品；初步建成智慧农业产业数据枢纽中心，打造100个以上品牌数据产品和20家数据企业；提升建设15个</w:t>
      </w:r>
      <w:r>
        <w:rPr>
          <w:rFonts w:hint="eastAsia" w:ascii="仿宋_GB2312" w:hAnsi="仿宋_GB2312" w:eastAsia="仿宋_GB2312" w:cs="仿宋_GB2312"/>
          <w:color w:val="000000"/>
          <w:sz w:val="32"/>
          <w:szCs w:val="32"/>
        </w:rPr>
        <w:t>粮食生产</w:t>
      </w:r>
      <w:r>
        <w:rPr>
          <w:rFonts w:hint="eastAsia" w:ascii="仿宋_GB2312" w:eastAsia="仿宋_GB2312"/>
          <w:sz w:val="32"/>
          <w:szCs w:val="32"/>
          <w:lang w:eastAsia="zh-CN"/>
        </w:rPr>
        <w:t>智慧</w:t>
      </w:r>
      <w:r>
        <w:rPr>
          <w:rFonts w:hint="eastAsia" w:ascii="仿宋_GB2312" w:eastAsia="仿宋_GB2312"/>
          <w:sz w:val="32"/>
          <w:szCs w:val="32"/>
        </w:rPr>
        <w:t>农场</w:t>
      </w:r>
      <w:r>
        <w:rPr>
          <w:rFonts w:hint="eastAsia" w:ascii="仿宋_GB2312" w:hAnsi="仿宋_GB2312" w:eastAsia="仿宋_GB2312" w:cs="仿宋_GB2312"/>
          <w:sz w:val="32"/>
          <w:szCs w:val="32"/>
        </w:rPr>
        <w:t>，建成10个以上智能温室和植物工厂、4个楼房畜禽养殖场、3个工厂化智能水产养殖基地；全市农业生产信息化率达60%以上，处于全国领先水平。</w:t>
      </w:r>
    </w:p>
    <w:p w14:paraId="67E7DB0A">
      <w:pPr>
        <w:pStyle w:val="3"/>
        <w:keepNext w:val="0"/>
        <w:keepLines w:val="0"/>
        <w:pageBreakBefore w:val="0"/>
        <w:widowControl w:val="0"/>
        <w:kinsoku/>
        <w:wordWrap/>
        <w:overflowPunct/>
        <w:topLinePunct w:val="0"/>
        <w:autoSpaceDE/>
        <w:bidi w:val="0"/>
        <w:spacing w:after="0" w:line="600" w:lineRule="exact"/>
        <w:ind w:left="0" w:leftChars="0" w:right="0" w:rightChars="0" w:firstLine="640"/>
        <w:textAlignment w:val="auto"/>
        <w:outlineLvl w:val="9"/>
        <w:rPr>
          <w:rFonts w:hint="eastAsia" w:ascii="黑体" w:hAnsi="黑体" w:eastAsia="黑体" w:cs="黑体"/>
          <w:sz w:val="32"/>
          <w:szCs w:val="32"/>
        </w:rPr>
      </w:pPr>
      <w:r>
        <w:rPr>
          <w:rFonts w:hint="eastAsia" w:ascii="黑体" w:hAnsi="黑体" w:eastAsia="黑体" w:cs="黑体"/>
          <w:sz w:val="32"/>
          <w:szCs w:val="32"/>
        </w:rPr>
        <w:t>二、重点任务</w:t>
      </w:r>
    </w:p>
    <w:p w14:paraId="5AA720DE">
      <w:pPr>
        <w:pStyle w:val="3"/>
        <w:keepNext w:val="0"/>
        <w:keepLines w:val="0"/>
        <w:pageBreakBefore w:val="0"/>
        <w:widowControl w:val="0"/>
        <w:kinsoku/>
        <w:wordWrap/>
        <w:overflowPunct/>
        <w:topLinePunct w:val="0"/>
        <w:autoSpaceDE/>
        <w:bidi w:val="0"/>
        <w:spacing w:after="0" w:line="600" w:lineRule="exact"/>
        <w:ind w:left="0" w:leftChars="0" w:right="0" w:rightChars="0" w:firstLine="643"/>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（一）智慧农业公共服务能力提升行动</w:t>
      </w:r>
    </w:p>
    <w:p w14:paraId="63650400">
      <w:pPr>
        <w:pStyle w:val="3"/>
        <w:keepNext w:val="0"/>
        <w:keepLines w:val="0"/>
        <w:pageBreakBefore w:val="0"/>
        <w:widowControl w:val="0"/>
        <w:kinsoku/>
        <w:wordWrap/>
        <w:overflowPunct/>
        <w:topLinePunct w:val="0"/>
        <w:autoSpaceDE/>
        <w:bidi w:val="0"/>
        <w:spacing w:after="0" w:line="600" w:lineRule="exact"/>
        <w:ind w:left="0" w:leftChars="0" w:right="0" w:rightChars="0" w:firstLine="64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.提升技术创新能力。</w:t>
      </w:r>
      <w:r>
        <w:rPr>
          <w:rFonts w:hint="eastAsia" w:ascii="仿宋_GB2312" w:hAnsi="仿宋_GB2312" w:eastAsia="仿宋_GB2312" w:cs="仿宋_GB2312"/>
          <w:color w:val="auto"/>
          <w:sz w:val="32"/>
          <w:szCs w:val="32"/>
        </w:rPr>
        <w:t>联合科研院校和龙头企业，吸纳国内外</w:t>
      </w:r>
      <w:r>
        <w:rPr>
          <w:rFonts w:ascii="仿宋_GB2312" w:hAnsi="仿宋_GB2312" w:eastAsia="仿宋_GB2312" w:cs="仿宋_GB2312"/>
          <w:color w:val="auto"/>
          <w:sz w:val="32"/>
          <w:szCs w:val="32"/>
        </w:rPr>
        <w:t>从事</w:t>
      </w:r>
      <w:r>
        <w:rPr>
          <w:rFonts w:hint="eastAsia" w:ascii="仿宋_GB2312" w:hAnsi="仿宋_GB2312" w:eastAsia="仿宋_GB2312" w:cs="仿宋_GB2312"/>
          <w:color w:val="auto"/>
          <w:sz w:val="32"/>
          <w:szCs w:val="32"/>
        </w:rPr>
        <w:t>先进技术和高科技</w:t>
      </w:r>
      <w:r>
        <w:rPr>
          <w:rFonts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rPr>
        <w:t>人才，创新机制构建智慧农业技术创新平台。培育一批智慧农业领域科技领军企业，集聚创新资源，推进智慧农业技术研发、成果转化和产业化应用。开发推广具有自主知识产权的作物生长、动物行为和体征识别、生产管理决策、设施环境多因素联动调控等基础算法和垂类模型，以及智能育种等通用软件工具或SaaS软件服务，为各类智慧农业应用提供数字底座。聚焦现代设施农业和智能农机装备领域的“卡脖子”技术短板弱项，加强基础性、关键性、前沿性技术的科研创新和技术推广，持续推进数字化</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信息化</w:t>
      </w:r>
      <w:r>
        <w:rPr>
          <w:rFonts w:ascii="仿宋_GB2312" w:hAnsi="仿宋_GB2312" w:eastAsia="仿宋_GB2312" w:cs="仿宋_GB2312"/>
          <w:color w:val="auto"/>
          <w:sz w:val="32"/>
          <w:szCs w:val="32"/>
        </w:rPr>
        <w:t>和智能化</w:t>
      </w:r>
      <w:r>
        <w:rPr>
          <w:rFonts w:hint="eastAsia" w:ascii="仿宋_GB2312" w:hAnsi="仿宋_GB2312" w:eastAsia="仿宋_GB2312" w:cs="仿宋_GB2312"/>
          <w:color w:val="auto"/>
          <w:sz w:val="32"/>
          <w:szCs w:val="32"/>
        </w:rPr>
        <w:t>技术与设施装备深度融合，着力推动智能装备技术研产推用一体化发展。</w:t>
      </w:r>
    </w:p>
    <w:p w14:paraId="57360418">
      <w:pPr>
        <w:pStyle w:val="3"/>
        <w:keepNext w:val="0"/>
        <w:keepLines w:val="0"/>
        <w:pageBreakBefore w:val="0"/>
        <w:widowControl w:val="0"/>
        <w:kinsoku/>
        <w:wordWrap/>
        <w:overflowPunct/>
        <w:topLinePunct w:val="0"/>
        <w:autoSpaceDE/>
        <w:bidi w:val="0"/>
        <w:spacing w:after="0" w:line="600" w:lineRule="exact"/>
        <w:ind w:left="0" w:leftChars="0" w:right="0" w:rightChars="0" w:firstLine="643"/>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.提升</w:t>
      </w:r>
      <w:r>
        <w:rPr>
          <w:rFonts w:hint="eastAsia" w:ascii="仿宋_GB2312" w:hAnsi="仿宋_GB2312" w:eastAsia="仿宋_GB2312" w:cs="仿宋_GB2312"/>
          <w:b/>
          <w:bCs/>
          <w:color w:val="auto"/>
          <w:sz w:val="32"/>
          <w:szCs w:val="32"/>
          <w:lang w:eastAsia="zh-CN"/>
        </w:rPr>
        <w:t>政务</w:t>
      </w:r>
      <w:r>
        <w:rPr>
          <w:rFonts w:hint="eastAsia" w:ascii="仿宋_GB2312" w:hAnsi="仿宋_GB2312" w:eastAsia="仿宋_GB2312" w:cs="仿宋_GB2312"/>
          <w:b/>
          <w:bCs/>
          <w:color w:val="auto"/>
          <w:sz w:val="32"/>
          <w:szCs w:val="32"/>
        </w:rPr>
        <w:t>服务能力。</w:t>
      </w:r>
      <w:r>
        <w:rPr>
          <w:rFonts w:hint="eastAsia" w:ascii="仿宋_GB2312" w:hAnsi="仿宋_GB2312" w:eastAsia="仿宋_GB2312" w:cs="仿宋_GB2312"/>
          <w:color w:val="auto"/>
          <w:sz w:val="32"/>
          <w:szCs w:val="32"/>
        </w:rPr>
        <w:t>深入推进农业农村行政办公数字化转型，全面提升办公行政服务能力。深化政务服务“一网通办”改革,加快推进政务服务标准化、规范化、便利化,推进实现“少填少交智能审”，实现高频事项“线上专业人工帮办”全覆盖，提升首办成功率。建设随申办“申农服”专区，为农业生产经营主体提供便捷办事、生产管理、市场信息、惠企利民政策“免申即享”、农技智能问答、社会化服务等一站式智慧化公共服务平台。构建涉农补贴智能测算分析模型，实现水稻种植等补贴的自动测算和精准核查。应用遥感、人工智能、无人机等技术建立耕地、永久基本农田、高标准农田等农用地种植用途智慧监测预警服务机制。</w:t>
      </w:r>
    </w:p>
    <w:p w14:paraId="7A5DA3A6">
      <w:pPr>
        <w:pStyle w:val="3"/>
        <w:keepNext w:val="0"/>
        <w:keepLines w:val="0"/>
        <w:pageBreakBefore w:val="0"/>
        <w:widowControl w:val="0"/>
        <w:kinsoku/>
        <w:wordWrap/>
        <w:overflowPunct/>
        <w:topLinePunct w:val="0"/>
        <w:autoSpaceDE/>
        <w:bidi w:val="0"/>
        <w:spacing w:after="0" w:line="600" w:lineRule="exact"/>
        <w:ind w:left="0" w:leftChars="0" w:right="0" w:rightChars="0" w:firstLine="643"/>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.提升“图库码链”应用能力。</w:t>
      </w:r>
      <w:r>
        <w:rPr>
          <w:rFonts w:hint="eastAsia" w:ascii="仿宋_GB2312" w:hAnsi="仿宋_GB2312" w:eastAsia="仿宋_GB2312" w:cs="仿宋_GB2312"/>
          <w:color w:val="auto"/>
          <w:sz w:val="32"/>
          <w:szCs w:val="32"/>
        </w:rPr>
        <w:t>基于上海“图库码链”等数字基础能力底座</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对接全国“一张图”和“全农码”，深化“申农码”、“申农链”应用场景。建立健全农业数据标准体系，开展“一数一源”、“分级分类”治理</w:t>
      </w:r>
      <w:bookmarkStart w:id="0" w:name="_Hlk185323282"/>
      <w:r>
        <w:rPr>
          <w:rFonts w:hint="eastAsia" w:ascii="仿宋_GB2312" w:hAnsi="仿宋_GB2312" w:eastAsia="仿宋_GB2312" w:cs="仿宋_GB2312"/>
          <w:color w:val="auto"/>
          <w:sz w:val="32"/>
          <w:szCs w:val="32"/>
        </w:rPr>
        <w:t>，推动构建农业全产业数据链</w:t>
      </w:r>
      <w:bookmarkEnd w:id="0"/>
      <w:r>
        <w:rPr>
          <w:rFonts w:hint="eastAsia" w:ascii="仿宋_GB2312" w:hAnsi="仿宋_GB2312" w:eastAsia="仿宋_GB2312" w:cs="仿宋_GB2312"/>
          <w:color w:val="auto"/>
          <w:sz w:val="32"/>
          <w:szCs w:val="32"/>
        </w:rPr>
        <w:t>。抓住土地延包契机，加强空间底图与业务系统的衔接和数据贯通，围绕土地流转、涉农补贴、基层治理、精准帮扶、产业管理、农产品质量监管等应用，丰富农业专业应用图层。推进农业领域“一人一码、一企一码、一物一码”等图码融合应用，提高农业精准化管理和服务水平。应用人工智能及边缘分析技术，推进数据纵向回流应用，强化业务协同，有效推动农产品质量安全监管、长江禁捕智能管控以及渔船、农机安全监管等效能提升。</w:t>
      </w:r>
    </w:p>
    <w:p w14:paraId="2E5AB91E">
      <w:pPr>
        <w:pStyle w:val="3"/>
        <w:keepNext w:val="0"/>
        <w:keepLines w:val="0"/>
        <w:pageBreakBefore w:val="0"/>
        <w:widowControl w:val="0"/>
        <w:kinsoku/>
        <w:wordWrap/>
        <w:overflowPunct/>
        <w:topLinePunct w:val="0"/>
        <w:autoSpaceDE/>
        <w:bidi w:val="0"/>
        <w:spacing w:after="0" w:line="600" w:lineRule="exact"/>
        <w:ind w:left="0" w:leftChars="0" w:right="0" w:rightChars="0" w:firstLine="643"/>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（二）智慧农业重点领域</w:t>
      </w:r>
      <w:r>
        <w:rPr>
          <w:rFonts w:hint="eastAsia" w:ascii="楷体_GB2312" w:hAnsi="楷体_GB2312" w:eastAsia="楷体_GB2312" w:cs="楷体_GB2312"/>
          <w:b/>
          <w:bCs/>
          <w:sz w:val="32"/>
          <w:szCs w:val="32"/>
          <w:lang w:eastAsia="zh"/>
          <w:woUserID w:val="2"/>
        </w:rPr>
        <w:t>攻坚</w:t>
      </w:r>
      <w:r>
        <w:rPr>
          <w:rFonts w:hint="eastAsia" w:ascii="楷体_GB2312" w:hAnsi="楷体_GB2312" w:eastAsia="楷体_GB2312" w:cs="楷体_GB2312"/>
          <w:b/>
          <w:bCs/>
          <w:sz w:val="32"/>
          <w:szCs w:val="32"/>
        </w:rPr>
        <w:t>行动</w:t>
      </w:r>
    </w:p>
    <w:p w14:paraId="7FF362B5">
      <w:pPr>
        <w:pStyle w:val="3"/>
        <w:keepNext w:val="0"/>
        <w:keepLines w:val="0"/>
        <w:pageBreakBefore w:val="0"/>
        <w:widowControl w:val="0"/>
        <w:kinsoku/>
        <w:wordWrap/>
        <w:overflowPunct/>
        <w:topLinePunct w:val="0"/>
        <w:autoSpaceDE/>
        <w:bidi w:val="0"/>
        <w:spacing w:after="0" w:line="600" w:lineRule="exact"/>
        <w:ind w:left="0" w:leftChars="0" w:right="0" w:rightChars="0" w:firstLine="643"/>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CN"/>
        </w:rPr>
        <w:t>现代</w:t>
      </w:r>
      <w:r>
        <w:rPr>
          <w:rFonts w:hint="eastAsia" w:ascii="仿宋_GB2312" w:hAnsi="仿宋_GB2312" w:eastAsia="仿宋_GB2312" w:cs="仿宋_GB2312"/>
          <w:b/>
          <w:bCs/>
          <w:sz w:val="32"/>
          <w:szCs w:val="32"/>
        </w:rPr>
        <w:t>设施农业</w:t>
      </w:r>
      <w:r>
        <w:rPr>
          <w:rFonts w:hint="eastAsia" w:ascii="仿宋_GB2312" w:hAnsi="仿宋_GB2312" w:eastAsia="仿宋_GB2312" w:cs="仿宋_GB2312"/>
          <w:b/>
          <w:bCs/>
          <w:sz w:val="32"/>
          <w:szCs w:val="32"/>
          <w:lang w:eastAsia="zh"/>
          <w:woUserID w:val="2"/>
        </w:rPr>
        <w:t>领域</w:t>
      </w:r>
      <w:r>
        <w:rPr>
          <w:rFonts w:hint="eastAsia" w:ascii="仿宋_GB2312" w:hAnsi="仿宋_GB2312" w:eastAsia="仿宋_GB2312" w:cs="仿宋_GB2312"/>
          <w:b/>
          <w:bCs/>
          <w:sz w:val="32"/>
          <w:szCs w:val="32"/>
        </w:rPr>
        <w:t>。</w:t>
      </w:r>
      <w:r>
        <w:rPr>
          <w:rFonts w:hint="eastAsia" w:ascii="仿宋_GB2312" w:hAnsi="宋体" w:eastAsia="仿宋_GB2312"/>
          <w:sz w:val="32"/>
          <w:szCs w:val="32"/>
        </w:rPr>
        <w:t>打造现代设施种植样板，建设周年生产、装备先进、智能调控、高质高效的智能温室和植物工厂，推进规模化、产业化生产，形成</w:t>
      </w:r>
      <w:r>
        <w:rPr>
          <w:rFonts w:hint="eastAsia" w:ascii="仿宋_GB2312" w:hAnsi="宋体" w:eastAsia="仿宋_GB2312"/>
          <w:sz w:val="32"/>
          <w:szCs w:val="32"/>
          <w:lang w:eastAsia="zh"/>
          <w:woUserID w:val="2"/>
        </w:rPr>
        <w:t>多个</w:t>
      </w:r>
      <w:r>
        <w:rPr>
          <w:rFonts w:hint="eastAsia" w:ascii="仿宋_GB2312" w:hAnsi="宋体" w:eastAsia="仿宋_GB2312"/>
          <w:sz w:val="32"/>
          <w:szCs w:val="32"/>
        </w:rPr>
        <w:t>现代设施种植</w:t>
      </w:r>
      <w:r>
        <w:rPr>
          <w:rFonts w:hint="eastAsia" w:ascii="仿宋_GB2312" w:hAnsi="仿宋_GB2312" w:eastAsia="仿宋_GB2312" w:cs="仿宋_GB2312"/>
          <w:sz w:val="32"/>
          <w:szCs w:val="32"/>
          <w:lang w:val="en-US" w:eastAsia="zh-CN"/>
        </w:rPr>
        <w:t>园。聚焦蔬菜生产机器换人示范基地，推动设施菜田机械化、数字化、智能化转型。以扩产能、调结构、优布局为导向，促进设施渔业现代化提升,着力打造多个数字技术赋能的工厂化、智能化水产养殖基地。推进松江区种养结合家庭农场整合提升，建设立体多层规模化种养结合家庭</w:t>
      </w:r>
      <w:r>
        <w:rPr>
          <w:rFonts w:hint="eastAsia" w:ascii="仿宋_GB2312" w:hAnsi="宋体" w:eastAsia="仿宋_GB2312"/>
          <w:sz w:val="32"/>
          <w:szCs w:val="32"/>
        </w:rPr>
        <w:t>农场。推进光明集团所属牧场归并整合，建设奶牛智慧牧场。</w:t>
      </w:r>
      <w:r>
        <w:rPr>
          <w:rFonts w:hint="eastAsia" w:ascii="仿宋_GB2312" w:hAnsi="仿宋_GB2312" w:eastAsia="仿宋_GB2312" w:cs="仿宋_GB2312"/>
          <w:color w:val="auto"/>
          <w:kern w:val="2"/>
          <w:sz w:val="32"/>
          <w:szCs w:val="32"/>
          <w:highlight w:val="none"/>
          <w:lang w:val="en-US" w:eastAsia="zh-CN" w:bidi="ar-SA"/>
        </w:rPr>
        <w:t>推动农产品分等分级、分切分割、保鲜包装等商品化处理环节智能化、数字化现代技术装备集成应用。</w:t>
      </w:r>
    </w:p>
    <w:p w14:paraId="5EC78998">
      <w:pPr>
        <w:pStyle w:val="3"/>
        <w:keepNext w:val="0"/>
        <w:keepLines w:val="0"/>
        <w:pageBreakBefore w:val="0"/>
        <w:widowControl w:val="0"/>
        <w:kinsoku/>
        <w:wordWrap/>
        <w:overflowPunct/>
        <w:topLinePunct w:val="0"/>
        <w:autoSpaceDE/>
        <w:bidi w:val="0"/>
        <w:spacing w:after="0" w:line="600" w:lineRule="exact"/>
        <w:ind w:left="0" w:leftChars="0" w:right="0" w:rightChars="0" w:firstLine="643"/>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eastAsia="zh-CN"/>
        </w:rPr>
        <w:t>粮食生产智慧</w:t>
      </w:r>
      <w:r>
        <w:rPr>
          <w:rFonts w:hint="eastAsia" w:ascii="仿宋_GB2312" w:hAnsi="仿宋_GB2312" w:eastAsia="仿宋_GB2312" w:cs="仿宋_GB2312"/>
          <w:b/>
          <w:bCs/>
          <w:sz w:val="32"/>
          <w:szCs w:val="32"/>
        </w:rPr>
        <w:t>农场</w:t>
      </w:r>
      <w:r>
        <w:rPr>
          <w:rFonts w:hint="eastAsia" w:ascii="仿宋_GB2312" w:hAnsi="仿宋_GB2312" w:eastAsia="仿宋_GB2312" w:cs="仿宋_GB2312"/>
          <w:b/>
          <w:bCs/>
          <w:sz w:val="32"/>
          <w:szCs w:val="32"/>
          <w:lang w:eastAsia="zh"/>
          <w:woUserID w:val="2"/>
        </w:rPr>
        <w:t>领域</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围绕“数字化感知、智能化决策、精准化作业、智能化管理”，开展智慧农场核心关键技术研发，重点推进农机无人驾驶与机具协同控制、基于时空信息的精准智能作业、基于人工智能的精量灌排及耕种管收全环节无人化作业等技术的攻关与应用。在粮食生产无人农场1.0版基础上，聚焦智能灌溉、农情智能监测、农机智能化提升，打造数字化、智能化粮食生产场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提升建设15个粮食生产</w:t>
      </w:r>
      <w:r>
        <w:rPr>
          <w:rFonts w:hint="eastAsia" w:ascii="仿宋_GB2312" w:hAnsi="仿宋_GB2312" w:eastAsia="仿宋_GB2312" w:cs="仿宋_GB2312"/>
          <w:sz w:val="32"/>
          <w:szCs w:val="32"/>
          <w:lang w:eastAsia="zh-CN"/>
        </w:rPr>
        <w:t>智慧</w:t>
      </w:r>
      <w:r>
        <w:rPr>
          <w:rFonts w:hint="eastAsia" w:ascii="仿宋_GB2312" w:hAnsi="仿宋_GB2312" w:eastAsia="仿宋_GB2312" w:cs="仿宋_GB2312"/>
          <w:sz w:val="32"/>
          <w:szCs w:val="32"/>
        </w:rPr>
        <w:t>农场。</w:t>
      </w:r>
      <w:r>
        <w:rPr>
          <w:rFonts w:hint="eastAsia" w:ascii="仿宋_GB2312" w:hAnsi="仿宋_GB2312" w:eastAsia="仿宋_GB2312" w:cs="仿宋_GB2312"/>
          <w:color w:val="000000"/>
          <w:sz w:val="32"/>
          <w:szCs w:val="32"/>
        </w:rPr>
        <w:t>支持光明集团建设智慧农业引领区。</w:t>
      </w:r>
    </w:p>
    <w:p w14:paraId="28E3B1B2">
      <w:pPr>
        <w:pStyle w:val="3"/>
        <w:keepNext w:val="0"/>
        <w:keepLines w:val="0"/>
        <w:pageBreakBefore w:val="0"/>
        <w:widowControl w:val="0"/>
        <w:kinsoku/>
        <w:wordWrap/>
        <w:overflowPunct/>
        <w:topLinePunct w:val="0"/>
        <w:autoSpaceDE/>
        <w:bidi w:val="0"/>
        <w:spacing w:after="0" w:line="600" w:lineRule="exact"/>
        <w:ind w:left="0" w:leftChars="0" w:right="0" w:rightChars="0" w:firstLine="643"/>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b/>
          <w:bCs/>
          <w:sz w:val="32"/>
          <w:szCs w:val="32"/>
        </w:rPr>
        <w:t>6.数字育种</w:t>
      </w:r>
      <w:r>
        <w:rPr>
          <w:rFonts w:hint="eastAsia" w:ascii="仿宋_GB2312" w:hAnsi="仿宋_GB2312" w:eastAsia="仿宋_GB2312" w:cs="仿宋_GB2312"/>
          <w:b/>
          <w:bCs/>
          <w:sz w:val="32"/>
          <w:szCs w:val="32"/>
          <w:lang w:eastAsia="zh"/>
          <w:woUserID w:val="2"/>
        </w:rPr>
        <w:t>领域</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加快上海南繁基地、市级农业种质资源库（圃）、畜禽基因库、畜禽资源保种场等数字化建设。健全市农业种质资源信息共享服务平台，覆盖市级保护库（圃、场）所有种类资源，实施统一身份信息管理。支持市农科院和种业企业等，共同建设智慧化数字育制种创新应用平台，开发智能设计育种工具，推动经验育种向智能设计育种转变，为育制种提供数字化底座，有效缩短育种周期加速育种，助力种业振兴行动。</w:t>
      </w:r>
    </w:p>
    <w:p w14:paraId="211C3321">
      <w:pPr>
        <w:pStyle w:val="3"/>
        <w:keepNext w:val="0"/>
        <w:keepLines w:val="0"/>
        <w:pageBreakBefore w:val="0"/>
        <w:widowControl w:val="0"/>
        <w:kinsoku/>
        <w:wordWrap/>
        <w:overflowPunct/>
        <w:topLinePunct w:val="0"/>
        <w:autoSpaceDE/>
        <w:bidi w:val="0"/>
        <w:spacing w:after="0" w:line="600" w:lineRule="exact"/>
        <w:ind w:left="0" w:leftChars="0" w:right="0" w:rightChars="0" w:firstLine="643"/>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（三）智慧农业发展模式创新行动</w:t>
      </w:r>
    </w:p>
    <w:p w14:paraId="4A97E1C7">
      <w:pPr>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kinsoku/>
        <w:wordWrap/>
        <w:overflowPunct/>
        <w:topLinePunct w:val="0"/>
        <w:autoSpaceDE/>
        <w:autoSpaceDN w:val="0"/>
        <w:bidi w:val="0"/>
        <w:adjustRightInd w:val="0"/>
        <w:snapToGrid w:val="0"/>
        <w:spacing w:after="0" w:line="600" w:lineRule="exact"/>
        <w:ind w:left="0" w:leftChars="0" w:right="0" w:rightChars="0" w:firstLine="643" w:firstLineChars="200"/>
        <w:textAlignment w:val="auto"/>
        <w:outlineLvl w:val="9"/>
        <w:rPr>
          <w:rFonts w:hint="eastAsia" w:ascii="仿宋_GB2312" w:hAnsi="楷体_GB2312" w:eastAsia="仿宋_GB2312" w:cs="楷体_GB2312"/>
          <w:sz w:val="32"/>
          <w:szCs w:val="32"/>
        </w:rPr>
      </w:pPr>
      <w:r>
        <w:rPr>
          <w:rFonts w:hint="eastAsia" w:ascii="仿宋_GB2312" w:hAnsi="仿宋_GB2312" w:eastAsia="仿宋_GB2312" w:cs="仿宋_GB2312"/>
          <w:b/>
          <w:bCs/>
          <w:sz w:val="32"/>
          <w:szCs w:val="32"/>
        </w:rPr>
        <w:t>7.</w:t>
      </w:r>
      <w:r>
        <w:rPr>
          <w:rFonts w:hint="eastAsia" w:ascii="仿宋_GB2312" w:hAnsi="仿宋_GB2312" w:eastAsia="仿宋_GB2312" w:cs="仿宋_GB2312"/>
          <w:b/>
          <w:bCs/>
          <w:sz w:val="32"/>
          <w:szCs w:val="32"/>
          <w:lang w:eastAsia="zh-CN"/>
        </w:rPr>
        <w:t>农业</w:t>
      </w:r>
      <w:r>
        <w:rPr>
          <w:rFonts w:hint="eastAsia" w:ascii="仿宋_GB2312" w:hAnsi="仿宋_GB2312" w:eastAsia="仿宋_GB2312" w:cs="仿宋_GB2312"/>
          <w:b/>
          <w:bCs/>
          <w:sz w:val="32"/>
          <w:szCs w:val="32"/>
        </w:rPr>
        <w:t>社会化服务模式。</w:t>
      </w:r>
      <w:r>
        <w:rPr>
          <w:rFonts w:hint="eastAsia" w:ascii="仿宋_GB2312" w:hAnsi="仿宋_GB2312" w:eastAsia="仿宋_GB2312" w:cs="仿宋_GB2312"/>
          <w:kern w:val="2"/>
          <w:sz w:val="32"/>
          <w:szCs w:val="32"/>
          <w:lang w:val="en-US" w:eastAsia="zh-CN" w:bidi="ar-SA"/>
        </w:rPr>
        <w:t>鼓励农业社会化服务主体充分利用互联网、大数据、云计算、区块链、人工智能等信息技术和手段，推广应用遥感、航拍、定位系统、视频监控等成熟的智能化设备和数据平合，对农业生产过程、生产环境、服务质量等精准监测，提升农业社会化服务智能化、数字化水平。推动粮食产地烘干信息化建设，实现粮食烘干数字化、智能化管理。打造全市农业社会化服务综合信息平台，为服务供需双方提供线上线下一站式、便捷化服务。加大北斗、物联网等技术在农机化生产作业的应用力度。</w:t>
      </w:r>
      <w:r>
        <w:rPr>
          <w:rFonts w:hint="eastAsia" w:ascii="仿宋_GB2312" w:hAnsi="楷体_GB2312" w:eastAsia="仿宋_GB2312" w:cs="楷体_GB2312"/>
          <w:sz w:val="32"/>
          <w:szCs w:val="32"/>
        </w:rPr>
        <w:t>支持智慧农业技术与电商、物流等产业的融合，推动农产品的线上销售和快速配送，提高农产品的流通效率和市场竞争力。</w:t>
      </w:r>
    </w:p>
    <w:p w14:paraId="13FB4FB6">
      <w:pPr>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kinsoku/>
        <w:wordWrap/>
        <w:overflowPunct/>
        <w:topLinePunct w:val="0"/>
        <w:autoSpaceDE/>
        <w:autoSpaceDN w:val="0"/>
        <w:bidi w:val="0"/>
        <w:adjustRightInd w:val="0"/>
        <w:snapToGrid w:val="0"/>
        <w:spacing w:after="0" w:line="60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8.数据要素价值</w:t>
      </w:r>
      <w:r>
        <w:rPr>
          <w:rFonts w:hint="eastAsia" w:ascii="仿宋_GB2312" w:hAnsi="仿宋_GB2312" w:eastAsia="仿宋_GB2312" w:cs="仿宋_GB2312"/>
          <w:b/>
          <w:bCs/>
          <w:sz w:val="32"/>
          <w:szCs w:val="32"/>
          <w:lang w:eastAsia="zh-CN"/>
        </w:rPr>
        <w:t>释放</w:t>
      </w:r>
      <w:r>
        <w:rPr>
          <w:rFonts w:hint="eastAsia" w:ascii="仿宋_GB2312" w:hAnsi="仿宋_GB2312" w:eastAsia="仿宋_GB2312" w:cs="仿宋_GB2312"/>
          <w:b/>
          <w:bCs/>
          <w:sz w:val="32"/>
          <w:szCs w:val="32"/>
        </w:rPr>
        <w:t>模式。</w:t>
      </w:r>
      <w:r>
        <w:rPr>
          <w:rFonts w:hint="eastAsia" w:ascii="仿宋_GB2312" w:hAnsi="仿宋_GB2312" w:eastAsia="仿宋_GB2312" w:cs="仿宋_GB2312"/>
          <w:sz w:val="32"/>
          <w:szCs w:val="32"/>
        </w:rPr>
        <w:t>对接农业农村大数据平台，</w:t>
      </w:r>
      <w:r>
        <w:rPr>
          <w:rFonts w:hint="eastAsia" w:ascii="仿宋_GB2312" w:hAnsi="仿宋_GB2312" w:eastAsia="仿宋_GB2312" w:cs="仿宋_GB2312"/>
          <w:sz w:val="32"/>
          <w:szCs w:val="32"/>
          <w:lang w:eastAsia="zh-CN"/>
        </w:rPr>
        <w:t>实现部市数据互联互通，</w:t>
      </w:r>
      <w:r>
        <w:rPr>
          <w:rFonts w:hint="eastAsia" w:ascii="仿宋_GB2312" w:hAnsi="仿宋_GB2312" w:eastAsia="仿宋_GB2312" w:cs="仿宋_GB2312"/>
          <w:sz w:val="32"/>
          <w:szCs w:val="32"/>
        </w:rPr>
        <w:t>强化数据要素保障与应用。构建农业农村数据创新实验室，聚焦农业金融、保险、市场分析、监测预警、政务服务等领域，利用卫星遥感、气象、生产经营、管理服务等多维数据，结合AI技术，开发农业信贷风险评估、保险精准理赔、产销匹配等数据产品与服务，释放公共数据价值。构建智慧农业产业数据枢纽中心，挖掘数据应用场景，打造一批农业数据语料库、数据创新产品与数据服务，加快形成主体多元、竞争有序、协同创新的智慧农业数据产业生态，切实提高数据管理和使用效率。</w:t>
      </w:r>
    </w:p>
    <w:p w14:paraId="5A7F6068">
      <w:pPr>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kinsoku/>
        <w:wordWrap/>
        <w:overflowPunct/>
        <w:topLinePunct w:val="0"/>
        <w:autoSpaceDE/>
        <w:autoSpaceDN w:val="0"/>
        <w:bidi w:val="0"/>
        <w:adjustRightInd w:val="0"/>
        <w:snapToGrid w:val="0"/>
        <w:spacing w:after="0" w:line="60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、组织保障</w:t>
      </w:r>
    </w:p>
    <w:p w14:paraId="2B63461A">
      <w:pPr>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kinsoku/>
        <w:wordWrap/>
        <w:overflowPunct/>
        <w:topLinePunct w:val="0"/>
        <w:autoSpaceDE/>
        <w:autoSpaceDN w:val="0"/>
        <w:bidi w:val="0"/>
        <w:adjustRightInd w:val="0"/>
        <w:snapToGrid w:val="0"/>
        <w:spacing w:after="0" w:line="600" w:lineRule="exact"/>
        <w:ind w:left="0" w:leftChars="0" w:right="0" w:rightChars="0" w:firstLine="640" w:firstLineChars="200"/>
        <w:textAlignment w:val="auto"/>
        <w:outlineLvl w:val="9"/>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加强组织领导，树立“一盘棋”思想，完善农业农村与数据部门协同工作机制，强化总体设计与统筹布局，落实重点任务和重大项目。加大工作支撑力度，争取政策资金扶持，发挥专家咨询作用，确保任务落实。加大扶持力度，整合政策和项目资源，谋划实施智慧农业重大项目和工程，强化企业创新主体地位，激发创新活力，鼓励科技企业、高校和科研院所深度合作，共同参与科研攻关。加强总结交流，及时总结工作成效，挖掘典型经验与创新模式，搭建多层次交流平台，通过线上线下多种形式推广新技术、新装备、新模式，促进各方交流学习，推动智慧农业高质量发展。</w:t>
      </w:r>
    </w:p>
    <w:p w14:paraId="4AFA88CE">
      <w:pPr>
        <w:pStyle w:val="4"/>
        <w:rPr>
          <w:rFonts w:hint="eastAsia" w:ascii="仿宋_GB2312" w:hAnsi="楷体_GB2312" w:eastAsia="仿宋_GB2312" w:cs="楷体_GB2312"/>
          <w:sz w:val="32"/>
          <w:szCs w:val="32"/>
        </w:rPr>
      </w:pPr>
    </w:p>
    <w:p w14:paraId="13488A47">
      <w:pPr>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kinsoku/>
        <w:wordWrap/>
        <w:overflowPunct/>
        <w:topLinePunct w:val="0"/>
        <w:autoSpaceDE/>
        <w:autoSpaceDN w:val="0"/>
        <w:bidi w:val="0"/>
        <w:adjustRightInd w:val="0"/>
        <w:snapToGrid w:val="0"/>
        <w:spacing w:after="0" w:line="60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上海市农业农村委员会</w:t>
      </w:r>
    </w:p>
    <w:p w14:paraId="110F73AD">
      <w:pPr>
        <w:keepNext w:val="0"/>
        <w:keepLines w:val="0"/>
        <w:pageBreakBefore w:val="0"/>
        <w:widowControl w:val="0"/>
        <w:kinsoku/>
        <w:wordWrap/>
        <w:overflowPunct/>
        <w:topLinePunct w:val="0"/>
        <w:autoSpaceDE/>
        <w:bidi w:val="0"/>
        <w:spacing w:after="0" w:line="60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bookmarkStart w:id="1" w:name="_GoBack"/>
      <w:bookmarkEnd w:id="1"/>
      <w:r>
        <w:rPr>
          <w:rFonts w:hint="eastAsia" w:ascii="仿宋_GB2312" w:hAnsi="仿宋_GB2312" w:eastAsia="仿宋_GB2312" w:cs="仿宋_GB2312"/>
          <w:sz w:val="32"/>
          <w:szCs w:val="32"/>
        </w:rPr>
        <w:t>日</w:t>
      </w:r>
    </w:p>
    <w:p w14:paraId="2DE9A0E0">
      <w:pPr>
        <w:keepNext w:val="0"/>
        <w:keepLines w:val="0"/>
        <w:pageBreakBefore w:val="0"/>
        <w:widowControl w:val="0"/>
        <w:kinsoku/>
        <w:wordWrap/>
        <w:overflowPunct/>
        <w:topLinePunct w:val="0"/>
        <w:autoSpaceDE/>
        <w:bidi w:val="0"/>
        <w:spacing w:after="0" w:line="600" w:lineRule="exact"/>
        <w:ind w:left="0" w:leftChars="0" w:right="0" w:rightChars="0"/>
        <w:textAlignment w:val="auto"/>
        <w:outlineLvl w:val="9"/>
      </w:pPr>
    </w:p>
    <w:p w14:paraId="55F59BDA">
      <w:pPr>
        <w:keepNext w:val="0"/>
        <w:keepLines w:val="0"/>
        <w:pageBreakBefore w:val="0"/>
        <w:widowControl w:val="0"/>
        <w:kinsoku/>
        <w:wordWrap/>
        <w:overflowPunct/>
        <w:topLinePunct w:val="0"/>
        <w:autoSpaceDE/>
        <w:bidi w:val="0"/>
        <w:spacing w:after="0" w:line="600" w:lineRule="exact"/>
        <w:ind w:left="0" w:leftChars="0" w:right="0" w:rightChars="0"/>
        <w:textAlignment w:val="auto"/>
        <w:outlineLvl w:val="9"/>
      </w:pPr>
    </w:p>
    <w:sectPr>
      <w:footerReference r:id="rId5" w:type="default"/>
      <w:pgSz w:w="11906" w:h="16838"/>
      <w:pgMar w:top="1440" w:right="1800" w:bottom="1440"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WZT-EN">
    <w:altName w:val="宋体"/>
    <w:panose1 w:val="02020400000000000000"/>
    <w:charset w:val="86"/>
    <w:family w:val="auto"/>
    <w:pitch w:val="default"/>
    <w:sig w:usb0="00000000" w:usb1="00000000" w:usb2="00082016" w:usb3="00000000" w:csb0="00000003"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28D8B">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0D77C6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00D77C6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B46"/>
    <w:rsid w:val="0002386D"/>
    <w:rsid w:val="00030DA6"/>
    <w:rsid w:val="0003653B"/>
    <w:rsid w:val="00072D10"/>
    <w:rsid w:val="0007790B"/>
    <w:rsid w:val="00085A95"/>
    <w:rsid w:val="000A557C"/>
    <w:rsid w:val="000B2F18"/>
    <w:rsid w:val="000C2A82"/>
    <w:rsid w:val="000E10FE"/>
    <w:rsid w:val="00123618"/>
    <w:rsid w:val="00125639"/>
    <w:rsid w:val="0013182D"/>
    <w:rsid w:val="001853B4"/>
    <w:rsid w:val="00255D68"/>
    <w:rsid w:val="00270BA3"/>
    <w:rsid w:val="002C1B1F"/>
    <w:rsid w:val="00320AA4"/>
    <w:rsid w:val="00390814"/>
    <w:rsid w:val="003B313B"/>
    <w:rsid w:val="003E7130"/>
    <w:rsid w:val="00432DA8"/>
    <w:rsid w:val="00443C70"/>
    <w:rsid w:val="0044775E"/>
    <w:rsid w:val="00457161"/>
    <w:rsid w:val="004953FE"/>
    <w:rsid w:val="00496512"/>
    <w:rsid w:val="005217AB"/>
    <w:rsid w:val="0054530D"/>
    <w:rsid w:val="00575F4D"/>
    <w:rsid w:val="0059251A"/>
    <w:rsid w:val="005B45F4"/>
    <w:rsid w:val="005E088C"/>
    <w:rsid w:val="00642976"/>
    <w:rsid w:val="00685C7F"/>
    <w:rsid w:val="00692A46"/>
    <w:rsid w:val="006968E7"/>
    <w:rsid w:val="0069704E"/>
    <w:rsid w:val="00697189"/>
    <w:rsid w:val="006F29D5"/>
    <w:rsid w:val="006F6B46"/>
    <w:rsid w:val="00704740"/>
    <w:rsid w:val="007515AE"/>
    <w:rsid w:val="007559A9"/>
    <w:rsid w:val="007E5DE8"/>
    <w:rsid w:val="007F6D21"/>
    <w:rsid w:val="00800D3F"/>
    <w:rsid w:val="00822486"/>
    <w:rsid w:val="00843AC5"/>
    <w:rsid w:val="00870ADB"/>
    <w:rsid w:val="00875722"/>
    <w:rsid w:val="008A1C63"/>
    <w:rsid w:val="00912BF2"/>
    <w:rsid w:val="00913529"/>
    <w:rsid w:val="00934E16"/>
    <w:rsid w:val="00967874"/>
    <w:rsid w:val="009E37D1"/>
    <w:rsid w:val="009F3A8B"/>
    <w:rsid w:val="00A1338A"/>
    <w:rsid w:val="00A330C8"/>
    <w:rsid w:val="00A46076"/>
    <w:rsid w:val="00A754AC"/>
    <w:rsid w:val="00A867B9"/>
    <w:rsid w:val="00A95AD8"/>
    <w:rsid w:val="00AB435E"/>
    <w:rsid w:val="00AC2FD0"/>
    <w:rsid w:val="00B241B1"/>
    <w:rsid w:val="00B61F1E"/>
    <w:rsid w:val="00B90215"/>
    <w:rsid w:val="00BD3883"/>
    <w:rsid w:val="00BF1739"/>
    <w:rsid w:val="00C05ADD"/>
    <w:rsid w:val="00C20528"/>
    <w:rsid w:val="00C26486"/>
    <w:rsid w:val="00C30174"/>
    <w:rsid w:val="00C510A1"/>
    <w:rsid w:val="00C63098"/>
    <w:rsid w:val="00C65C5A"/>
    <w:rsid w:val="00C7253F"/>
    <w:rsid w:val="00C91F59"/>
    <w:rsid w:val="00C95957"/>
    <w:rsid w:val="00CB300C"/>
    <w:rsid w:val="00CC206E"/>
    <w:rsid w:val="00CF105D"/>
    <w:rsid w:val="00D1076B"/>
    <w:rsid w:val="00DC2420"/>
    <w:rsid w:val="00DF7F97"/>
    <w:rsid w:val="00E016C3"/>
    <w:rsid w:val="00E157CB"/>
    <w:rsid w:val="00E20D9E"/>
    <w:rsid w:val="00E62DE4"/>
    <w:rsid w:val="00E70663"/>
    <w:rsid w:val="00E86554"/>
    <w:rsid w:val="00E93671"/>
    <w:rsid w:val="00F10069"/>
    <w:rsid w:val="00F37541"/>
    <w:rsid w:val="00F43C24"/>
    <w:rsid w:val="00F57285"/>
    <w:rsid w:val="00F70145"/>
    <w:rsid w:val="00FC0EFC"/>
    <w:rsid w:val="04DE2822"/>
    <w:rsid w:val="05963FA8"/>
    <w:rsid w:val="08356E24"/>
    <w:rsid w:val="09407CBB"/>
    <w:rsid w:val="12BB4972"/>
    <w:rsid w:val="19020ABD"/>
    <w:rsid w:val="232664E6"/>
    <w:rsid w:val="26E2167A"/>
    <w:rsid w:val="2DBFF64E"/>
    <w:rsid w:val="31232C5A"/>
    <w:rsid w:val="34962CFE"/>
    <w:rsid w:val="35175141"/>
    <w:rsid w:val="36462D46"/>
    <w:rsid w:val="3B5F2CA0"/>
    <w:rsid w:val="54170D97"/>
    <w:rsid w:val="5CCF6D1C"/>
    <w:rsid w:val="65701F51"/>
    <w:rsid w:val="6D8E4B7F"/>
    <w:rsid w:val="77DE06B9"/>
    <w:rsid w:val="785934B4"/>
    <w:rsid w:val="9FF75028"/>
    <w:rsid w:val="EF5FAE8B"/>
    <w:rsid w:val="F37B33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next w:val="1"/>
    <w:unhideWhenUsed/>
    <w:qFormat/>
    <w:uiPriority w:val="99"/>
    <w:rPr>
      <w:rFonts w:ascii="GWZT-EN" w:hAnsi="Courier New" w:eastAsia="宋体" w:cs="Courier New"/>
      <w:szCs w:val="21"/>
    </w:r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spacing w:line="240" w:lineRule="auto"/>
      <w:jc w:val="center"/>
    </w:pPr>
    <w:rPr>
      <w:sz w:val="18"/>
      <w:szCs w:val="18"/>
    </w:rPr>
  </w:style>
  <w:style w:type="paragraph" w:styleId="6">
    <w:name w:val="Body Text 2"/>
    <w:basedOn w:val="1"/>
    <w:unhideWhenUsed/>
    <w:qFormat/>
    <w:uiPriority w:val="99"/>
    <w:pPr>
      <w:ind w:firstLine="1840"/>
    </w:p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修订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1">
    <w:name w:val="页眉 字符"/>
    <w:basedOn w:val="9"/>
    <w:link w:val="5"/>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2853</Words>
  <Characters>2904</Characters>
  <Lines>152</Lines>
  <Paragraphs>51</Paragraphs>
  <TotalTime>35</TotalTime>
  <ScaleCrop>false</ScaleCrop>
  <LinksUpToDate>false</LinksUpToDate>
  <CharactersWithSpaces>2908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2025-01-22T21:49:00Z</dcterms:created>
  <dc:creator>顾方</dc:creator>
  <cp:lastModifiedBy>yms</cp:lastModifiedBy>
  <dcterms:modified xsi:type="dcterms:W3CDTF">2025-05-26T08:04:19Z</dcterms:modified>
  <dc:title>上海市发展智慧农业实施方案（2025-2028年）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E30CDD0A3BD60FB65D0134689375B717_43</vt:lpwstr>
  </property>
  <property fmtid="{D5CDD505-2E9C-101B-9397-08002B2CF9AE}" pid="4" name="KSOTemplateDocerSaveRecord">
    <vt:lpwstr>eyJoZGlkIjoiYzNiNmU3ODBhNjNmMzM1ZWY3YmI4MzliOTY3NGMxNzMiLCJ1c2VySWQiOiIxNjkwMzU1OTI0In0=</vt:lpwstr>
  </property>
</Properties>
</file>