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beforeLines="0" w:afterLines="0" w:line="300" w:lineRule="auto"/>
        <w:ind w:firstLine="0"/>
        <w:jc w:val="left"/>
        <w:rPr>
          <w:rFonts w:hint="eastAsia" w:ascii="仿宋" w:hAnsi="仿宋" w:eastAsia="仿宋" w:cs="仿宋"/>
          <w:b w:val="0"/>
          <w:bCs w:val="0"/>
          <w:kern w:val="0"/>
          <w:sz w:val="30"/>
          <w:szCs w:val="30"/>
          <w:lang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kern w:val="0"/>
          <w:sz w:val="32"/>
          <w:szCs w:val="32"/>
          <w:lang w:eastAsia="zh-CN"/>
        </w:rPr>
        <w:t>附件</w:t>
      </w:r>
      <w:r>
        <w:rPr>
          <w:rFonts w:hint="eastAsia" w:ascii="方正黑体_GBK" w:hAnsi="方正黑体_GBK" w:eastAsia="方正黑体_GBK" w:cs="方正黑体_GBK"/>
          <w:b w:val="0"/>
          <w:bCs w:val="0"/>
          <w:kern w:val="0"/>
          <w:sz w:val="32"/>
          <w:szCs w:val="32"/>
          <w:lang w:val="en-US" w:eastAsia="zh-CN"/>
        </w:rPr>
        <w:t>1</w:t>
      </w:r>
    </w:p>
    <w:p>
      <w:pPr>
        <w:adjustRightInd w:val="0"/>
        <w:snapToGrid w:val="0"/>
        <w:spacing w:beforeLines="0" w:afterLines="0" w:line="300" w:lineRule="auto"/>
        <w:ind w:firstLine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6"/>
          <w:szCs w:val="36"/>
        </w:rPr>
        <w:t>金山工业区红光村菜田建设项目建设计划及投资执行</w:t>
      </w:r>
    </w:p>
    <w:p>
      <w:pPr>
        <w:adjustRightInd w:val="0"/>
        <w:snapToGrid w:val="0"/>
        <w:spacing w:beforeLines="0" w:afterLines="0" w:line="300" w:lineRule="auto"/>
        <w:ind w:firstLine="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6"/>
          <w:szCs w:val="36"/>
        </w:rPr>
        <w:t>情况表</w:t>
      </w:r>
    </w:p>
    <w:tbl>
      <w:tblPr>
        <w:tblStyle w:val="8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1992"/>
        <w:gridCol w:w="768"/>
        <w:gridCol w:w="1260"/>
        <w:gridCol w:w="1410"/>
        <w:gridCol w:w="1275"/>
        <w:gridCol w:w="13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199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名称</w:t>
            </w:r>
          </w:p>
        </w:tc>
        <w:tc>
          <w:tcPr>
            <w:tcW w:w="7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计量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单位</w:t>
            </w:r>
          </w:p>
        </w:tc>
        <w:tc>
          <w:tcPr>
            <w:tcW w:w="2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建设完成情况</w:t>
            </w:r>
          </w:p>
        </w:tc>
        <w:tc>
          <w:tcPr>
            <w:tcW w:w="26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投资情况（万元）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92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8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计划数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完成数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计划数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完成数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工程费用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1477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1477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2261.93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2009.64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（一）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土地平整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田块修筑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（二）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灌溉与排水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1903.22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1683.53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新建泵站 双泵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50.71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40.43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下部结构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9.74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9.74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（2）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上部结构 泵房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34.32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34.32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9.61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9.61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（3）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机电设备及安装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28.24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20.07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（4）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金属结构设备及安装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1.87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（5）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附属设备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1.25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新建泵站 单泵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115.86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99.33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下部结构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29.23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29.22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（2）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上部结构 泵房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vertAlign w:val="superscript"/>
                <w:lang w:val="en-US" w:eastAsia="zh-CN" w:bidi="ar"/>
              </w:rPr>
              <w:t>2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102.95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102.95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28.83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28.83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（3）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机电设备及安装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48.44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38.25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（4）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金属结构设备及安装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5.61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（5）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附属设备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3.75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2.55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改造泵站 单泵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30.1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24.48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下部结构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7.83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7.83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（2）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上部结构 泵房翻新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vertAlign w:val="superscript"/>
                <w:lang w:val="en-US" w:eastAsia="zh-CN" w:bidi="ar"/>
              </w:rPr>
              <w:t>2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（3）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机电设各及安装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16.15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（4）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金属结构设备及安装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1.87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（5）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附属设备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1.25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改造泵站双泵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34.43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24.04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下部结构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0.07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0.07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（2）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上部结构 泵房翻新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vertAlign w:val="superscript"/>
                <w:lang w:val="en-US" w:eastAsia="zh-CN" w:bidi="ar"/>
              </w:rPr>
              <w:t>2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（3）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机电设备及安装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28.24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20.07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（4）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金属结构设备及安装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1.87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（5）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附属设备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1.25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灌溉设施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742.41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676.38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PE管 DN225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3242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2922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75.76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68.28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（2）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PE管 DN160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4134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3729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72.45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65.35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（3）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PE管 DN125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7347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6650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105.19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95.21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（4）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PE管 DN90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10907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9860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101.41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91.68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（5）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PE管 DN50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84522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76285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143.1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129.15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（6）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PE管 DN40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46838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42183.48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71.38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64.29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（7）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微喷头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23420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21201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18.74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16.96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（8）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Style w:val="29"/>
                <w:rFonts w:hAnsi="仿宋_GB2312"/>
                <w:b w:val="0"/>
                <w:bCs w:val="0"/>
                <w:sz w:val="24"/>
                <w:szCs w:val="24"/>
                <w:lang w:val="en-US" w:eastAsia="zh-CN" w:bidi="ar"/>
              </w:rPr>
              <w:t>喷头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</w:t>
            </w:r>
            <w:r>
              <w:rPr>
                <w:rStyle w:val="29"/>
                <w:rFonts w:hAnsi="仿宋_GB2312"/>
                <w:b w:val="0"/>
                <w:bCs w:val="0"/>
                <w:sz w:val="24"/>
                <w:szCs w:val="24"/>
                <w:lang w:val="en-US" w:eastAsia="zh-CN" w:bidi="ar"/>
              </w:rPr>
              <w:t>含立杆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)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33808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30789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40.57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36.95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（9）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管件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23.38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23.38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（10）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泄水井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5.02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（11）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Style w:val="29"/>
                <w:rFonts w:hint="eastAsia" w:hAnsi="仿宋_GB2312"/>
                <w:b w:val="0"/>
                <w:bCs w:val="0"/>
                <w:i w:val="0"/>
                <w:iCs w:val="0"/>
                <w:sz w:val="24"/>
                <w:szCs w:val="24"/>
                <w:lang w:val="en-US" w:eastAsia="zh-CN" w:bidi="ar"/>
              </w:rPr>
              <w:t>波水阀(带阀门箱VC1419)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286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282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22.79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20.72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（12）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闸阀井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32.61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32.61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（13）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穿路套管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16.74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16.74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（14）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DN225倒虹吸PE管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9.6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8.66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（15）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倒虹吸簪井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3.68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排水设施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929.71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818.87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新建排水沟1.0m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14218.8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12224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455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391.17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（2）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新建排水沟0.8m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9479.2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8122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284.38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243.66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（3）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排水沟入河口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22.56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22.56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（4）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田间退水口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680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680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8.16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（5）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过沟板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vertAlign w:val="superscript"/>
                <w:lang w:val="en-US" w:eastAsia="zh-CN" w:bidi="ar"/>
              </w:rPr>
              <w:t>2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952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860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34.27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30.96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（6）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排水沟过路管涵(新建路）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57.71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57.71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（7）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排水沟过路管涵(现状路)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36.14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36.13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（8）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降渍暗管DN90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23420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21205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31.5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28.52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（三）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田间道路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344.21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311.9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新建生产道路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vertAlign w:val="superscript"/>
                <w:lang w:val="en-US" w:eastAsia="zh-CN" w:bidi="ar"/>
              </w:rPr>
              <w:t>2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14178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12840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342.4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310.09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会车平台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1.81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（四）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农田输配电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10.5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农电线路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225.2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配电箱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3.9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电线杆9.0m长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3.6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工程建设其他费用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165.41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130.57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（一）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项目管理费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54.45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（二）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施工监理费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24.58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24.38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（三）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招标代理费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16.14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16.13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（四）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勘察设计费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70.24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70.01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勘察费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21.31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21.17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设计费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48.93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</w:t>
            </w:r>
          </w:p>
        </w:tc>
        <w:tc>
          <w:tcPr>
            <w:tcW w:w="1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工程总投资</w:t>
            </w:r>
          </w:p>
        </w:tc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2427.34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2140.21</w:t>
            </w:r>
          </w:p>
        </w:tc>
      </w:tr>
    </w:tbl>
    <w:p>
      <w:pPr>
        <w:spacing w:line="560" w:lineRule="exact"/>
        <w:ind w:firstLine="0" w:firstLineChars="0"/>
        <w:rPr>
          <w:rFonts w:eastAsia="仿宋"/>
          <w:b/>
          <w:bCs/>
          <w:kern w:val="0"/>
          <w:sz w:val="32"/>
          <w:szCs w:val="32"/>
        </w:rPr>
      </w:pPr>
    </w:p>
    <w:p>
      <w:pPr>
        <w:spacing w:line="560" w:lineRule="exact"/>
        <w:ind w:firstLine="0" w:firstLineChars="0"/>
        <w:rPr>
          <w:rFonts w:eastAsia="仿宋"/>
          <w:b/>
          <w:bCs/>
          <w:kern w:val="0"/>
          <w:sz w:val="32"/>
          <w:szCs w:val="32"/>
        </w:rPr>
      </w:pPr>
    </w:p>
    <w:p>
      <w:pPr>
        <w:spacing w:line="560" w:lineRule="exact"/>
        <w:ind w:firstLine="0" w:firstLineChars="0"/>
        <w:rPr>
          <w:rFonts w:eastAsia="仿宋"/>
          <w:b/>
          <w:bCs/>
          <w:kern w:val="0"/>
          <w:sz w:val="32"/>
          <w:szCs w:val="32"/>
        </w:rPr>
      </w:pPr>
    </w:p>
    <w:p>
      <w:pPr>
        <w:adjustRightInd w:val="0"/>
        <w:snapToGrid w:val="0"/>
        <w:spacing w:beforeLines="0" w:afterLines="0" w:line="300" w:lineRule="auto"/>
        <w:ind w:firstLine="0"/>
        <w:jc w:val="left"/>
        <w:rPr>
          <w:rFonts w:hint="eastAsia" w:ascii="仿宋" w:hAnsi="仿宋" w:eastAsia="仿宋" w:cs="仿宋"/>
          <w:b w:val="0"/>
          <w:bCs w:val="0"/>
          <w:kern w:val="0"/>
          <w:sz w:val="30"/>
          <w:szCs w:val="30"/>
          <w:lang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kern w:val="0"/>
          <w:sz w:val="32"/>
          <w:szCs w:val="32"/>
          <w:lang w:eastAsia="zh-CN"/>
        </w:rPr>
        <w:t>附件</w:t>
      </w:r>
      <w:r>
        <w:rPr>
          <w:rFonts w:hint="eastAsia" w:ascii="方正黑体_GBK" w:hAnsi="方正黑体_GBK" w:eastAsia="方正黑体_GBK" w:cs="方正黑体_GBK"/>
          <w:b w:val="0"/>
          <w:bCs w:val="0"/>
          <w:kern w:val="0"/>
          <w:sz w:val="32"/>
          <w:szCs w:val="32"/>
          <w:lang w:val="en-US" w:eastAsia="zh-CN"/>
        </w:rPr>
        <w:t>2</w:t>
      </w:r>
    </w:p>
    <w:p>
      <w:pPr>
        <w:adjustRightInd w:val="0"/>
        <w:snapToGrid w:val="0"/>
        <w:spacing w:beforeLines="0" w:afterLines="0" w:line="300" w:lineRule="auto"/>
        <w:ind w:firstLine="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6"/>
          <w:szCs w:val="36"/>
        </w:rPr>
        <w:t>金山区朱泾镇大茫村粮田建设项目建设计划及投资执行情况表</w:t>
      </w:r>
    </w:p>
    <w:tbl>
      <w:tblPr>
        <w:tblStyle w:val="8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4"/>
        <w:gridCol w:w="1942"/>
        <w:gridCol w:w="728"/>
        <w:gridCol w:w="1260"/>
        <w:gridCol w:w="1410"/>
        <w:gridCol w:w="1275"/>
        <w:gridCol w:w="13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194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名称</w:t>
            </w:r>
          </w:p>
        </w:tc>
        <w:tc>
          <w:tcPr>
            <w:tcW w:w="72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计量单位</w:t>
            </w:r>
          </w:p>
        </w:tc>
        <w:tc>
          <w:tcPr>
            <w:tcW w:w="2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建设完成情况</w:t>
            </w:r>
          </w:p>
        </w:tc>
        <w:tc>
          <w:tcPr>
            <w:tcW w:w="26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投资情况（万元）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42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28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计划数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完成数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计划数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完成数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工程费用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1691.00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1691.00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1699.41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1600.00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(一)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土地平整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33.38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31.76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田块修筑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1534.00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1534.00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30.68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29.17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细部平整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2.70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2.59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(二)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灌溉与排水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1267.29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1186.82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新建泵站（单泵）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151.51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144.76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下部结构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62.34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59.90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（2）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上部结构  泵房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4"/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m</w:t>
            </w:r>
            <w:r>
              <w:rPr>
                <w:rStyle w:val="16"/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44.80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42.66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（3）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机电设备及安装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31.89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30.31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（4）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金属结构设备及安装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7.48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7.12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（5）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附属设施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5.00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4.77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7#灌溉泵站（潜水泵）改造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5.42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5.18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上部结构  泵房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4"/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m</w:t>
            </w:r>
            <w:r>
              <w:rPr>
                <w:rStyle w:val="16"/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2.52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2.41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（2）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机电设备及安装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2.60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2.48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（3）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金属结构设备及安装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0.30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1#、2#灌溉泵站出水口改造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4.00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3.84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出水口改造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4.00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3.84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灌溉设施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419.32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379.31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PVC-U管  DN500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1388.00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1376.00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89.24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84.92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（2）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PVC-U管  DN400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1113.00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1101.00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38.96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37.03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（3）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PVC-U管  DN315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5412.00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5412.00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105.53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100.36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（4）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PVC-U管  DN250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1975.00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1975.00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29.36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27.93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（5）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PVC-U管  DN200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1394.00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1394.00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20.00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19.02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（6）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PVC-U管  DN160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1541.00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1488.00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15.00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14.26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（7）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管件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20.87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（8）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A型出水口（不穿路）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335.00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330.00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36.61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34.80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（9）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B型出水口（穿现状水泥路）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6.80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6.46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（10）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B型出水口（穿新建路）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2.95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2.82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（11）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I型闸阀井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4.60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4.40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（12）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II型闸阀井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47.00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47.00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35.25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33.59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（13）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DN500UPVC管过路（现状路）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0.80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0.78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（14）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DN400UPVC管过路（现状路）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0.70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0.69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（15）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DN315UPVC管过路（现状路）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1.12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（16）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DN250UPVC管过路（现状路）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0.86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0.82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（17）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DN500UPVC管过路（新建路）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0.60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0.58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（18）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DN400UPVC管过路（新建路）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0.14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0.14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（19）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DN315UPVC管过路（新建路）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0.40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（20）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DN250UPVC管过路（新建路）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0.14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0.13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（21）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排气井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0.86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0.83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（22）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DN315倒虹吸 PE管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29.00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4.50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4.35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（23）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DN200倒虹吸 PE管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29.00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4.05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3.92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排水设施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687.04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653.73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（1）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新建排水沟 1m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17781.00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17494.00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582.70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554.38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（3）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排水沟入河口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29.00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29.00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17.70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16.92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（4）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田间退水口 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535.00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535.00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18.55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17.66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（5）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排水沟过路管涵（现状路）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36.00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34.23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（6）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排水沟过路管涵（新建路）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14.15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13.46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（7）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过沟板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498.40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498.40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17.94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17.08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(三)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田间道路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378.96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362.19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新建砼道路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4"/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m</w:t>
            </w:r>
            <w:r>
              <w:rPr>
                <w:rStyle w:val="16"/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10771.89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10455.90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259.63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246.98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田间道路修复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4"/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m</w:t>
            </w:r>
            <w:r>
              <w:rPr>
                <w:rStyle w:val="16"/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4238.00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4100.00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67.81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65.60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下田口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4"/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m</w:t>
            </w:r>
            <w:r>
              <w:rPr>
                <w:rStyle w:val="16"/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1431.00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1378.00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51.52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49.61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(四)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农田输配电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19.78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19.23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低压输电线路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420.00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420.00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9.83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9.63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配电箱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4.55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4.39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电线杆（9米长）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5.40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5.21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工程建设其他费用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126.72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105.62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(一)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项目管理费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48.50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17.96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(二)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施工监理费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19.90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19.80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(三)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招标费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12.34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12.34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(四)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勘察设计费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55.98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55.52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勘察费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16.99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16.82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设计费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38.99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38.70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工程总投资</w:t>
            </w:r>
          </w:p>
        </w:tc>
        <w:tc>
          <w:tcPr>
            <w:tcW w:w="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1691.00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1691.00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1826.13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1705.62 </w:t>
            </w:r>
          </w:p>
        </w:tc>
      </w:tr>
    </w:tbl>
    <w:p>
      <w:pPr>
        <w:adjustRightInd w:val="0"/>
        <w:snapToGrid w:val="0"/>
        <w:spacing w:line="360" w:lineRule="auto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beforeLines="0" w:afterLines="0" w:line="300" w:lineRule="auto"/>
        <w:ind w:firstLine="0"/>
        <w:jc w:val="left"/>
        <w:rPr>
          <w:rFonts w:hint="eastAsia" w:ascii="方正黑体_GBK" w:hAnsi="方正黑体_GBK" w:eastAsia="方正黑体_GBK" w:cs="方正黑体_GBK"/>
          <w:b w:val="0"/>
          <w:bCs w:val="0"/>
          <w:kern w:val="0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kern w:val="0"/>
          <w:sz w:val="32"/>
          <w:szCs w:val="32"/>
          <w:lang w:eastAsia="zh-CN"/>
        </w:rPr>
        <w:t>附件</w:t>
      </w:r>
      <w:r>
        <w:rPr>
          <w:rFonts w:hint="eastAsia" w:ascii="方正黑体_GBK" w:hAnsi="方正黑体_GBK" w:eastAsia="方正黑体_GBK" w:cs="方正黑体_GBK"/>
          <w:b w:val="0"/>
          <w:bCs w:val="0"/>
          <w:kern w:val="0"/>
          <w:sz w:val="32"/>
          <w:szCs w:val="32"/>
          <w:lang w:val="en-US" w:eastAsia="zh-CN"/>
        </w:rPr>
        <w:t>3</w:t>
      </w:r>
    </w:p>
    <w:p>
      <w:pPr>
        <w:adjustRightInd w:val="0"/>
        <w:snapToGrid w:val="0"/>
        <w:spacing w:beforeLines="0" w:afterLines="0" w:line="300" w:lineRule="auto"/>
        <w:ind w:firstLine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6"/>
          <w:szCs w:val="36"/>
        </w:rPr>
        <w:t>金山区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6"/>
          <w:szCs w:val="36"/>
          <w:lang w:eastAsia="zh-CN"/>
        </w:rPr>
        <w:t>金山卫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6"/>
          <w:szCs w:val="36"/>
        </w:rPr>
        <w:t>镇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6"/>
          <w:szCs w:val="36"/>
          <w:lang w:eastAsia="zh-CN"/>
        </w:rPr>
        <w:t>横召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6"/>
          <w:szCs w:val="36"/>
        </w:rPr>
        <w:t>村粮田建设项目建设计划及投资</w:t>
      </w:r>
    </w:p>
    <w:p>
      <w:pPr>
        <w:adjustRightInd w:val="0"/>
        <w:snapToGrid w:val="0"/>
        <w:spacing w:beforeLines="0" w:afterLines="0" w:line="300" w:lineRule="auto"/>
        <w:ind w:firstLine="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6"/>
          <w:szCs w:val="36"/>
        </w:rPr>
        <w:t>执行情况表</w:t>
      </w:r>
    </w:p>
    <w:tbl>
      <w:tblPr>
        <w:tblStyle w:val="8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4"/>
        <w:gridCol w:w="1917"/>
        <w:gridCol w:w="753"/>
        <w:gridCol w:w="1260"/>
        <w:gridCol w:w="1410"/>
        <w:gridCol w:w="1275"/>
        <w:gridCol w:w="13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191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名称</w:t>
            </w:r>
          </w:p>
        </w:tc>
        <w:tc>
          <w:tcPr>
            <w:tcW w:w="75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计量单位</w:t>
            </w:r>
          </w:p>
        </w:tc>
        <w:tc>
          <w:tcPr>
            <w:tcW w:w="26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建设完成情况</w:t>
            </w:r>
          </w:p>
        </w:tc>
        <w:tc>
          <w:tcPr>
            <w:tcW w:w="26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投资情况（万元）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7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53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计划数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完成数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计划数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22"/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 w:bidi="ar"/>
              </w:rPr>
              <w:t>完成数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工程费用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2501.18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2501.18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2856.56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2749.09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横召村1号灌区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524.77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512.80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（一）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101.08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97.47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新建排水沟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904.00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900.00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28.93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28.80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翻建排水沟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1123.20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1050.00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35.94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33.60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新建生态沟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518.00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518.00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2.24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2.24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过路搭板涵3.0m*3.0m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9.23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9.23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排水涵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1.75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1.75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农沟出水口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过沟板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17.70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16.85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支撑板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346.00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320.00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3.24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（二）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灌溉工程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321.57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312.26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泵站工程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72.66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72.66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房屋建筑工程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39.50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39.50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11.06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11.06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泵室及进出水池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23.94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23.94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双孔管涵（DN=1.5m）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15.90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15.90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围堰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3.75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3.75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机电设备及安装工程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11.21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11.21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金属结构设备及安装工程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1.80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1.80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(6)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低压电线接入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输水管道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166.63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154.20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DN560(PE80,0.4)管(含管件)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8.56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8.15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1100.00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1020.00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71.50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66.30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268.00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253.00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9.38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8.86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1895.00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2050.00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36.95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39.98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DN225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1474.00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1598.00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23.91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25.91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(6)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DN160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543.00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500.00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5.43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(7)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管件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10.90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倒虹吸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12.00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13.20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DN400拖拉管倒虹吸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66.00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12.00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13.20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阀门井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14.62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14.62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DN560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2.30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2.30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DN450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8.25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8.25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DN225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0.62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0.62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泄水阀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10.45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10.44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9.00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DN225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排气阀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连接井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灌溉过路管及路面拆除与修复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18.42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18.77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DN560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0.84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0.84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6.72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6.09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87.00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3.36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3.65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路面拆除与修复（管道过路）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178.50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7.50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8.19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给水栓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21.72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23.28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（三）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道路工程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101.88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102.82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新建道路2.5m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2897.50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2919.25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63.75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64.22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新建道路4m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420.00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460.00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10.92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11.96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 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下田坡道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756.00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740.00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27.22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26.64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（四）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田块修筑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横召村2号灌区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559.34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534.06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（一）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88.71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81.65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新建排水沟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1659.00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1502.00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53.09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48.07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翻建排水沟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226.00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220.00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7.23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7.04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过路搭板涵3.0m*3.0m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5.13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5.13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排水涵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1.75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1.75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农沟出水口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1.92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1.78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过沟板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59.00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16.57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15.16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支撑板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322.00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290.00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2.72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（二）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灌溉工程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409.28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393.92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泵站工程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81.61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81.61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房屋建筑工程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39.50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39.50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11.06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11.06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泵室及进出水池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23.94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23.94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双孔管涵（DN=1.5m）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24.85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24.85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围堰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3.75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3.75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机电设备及安装工程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11.21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11.21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(6)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金属结构设备及安装工程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1.80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1.80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(7)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低压电线接入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输水管道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181.13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164.56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DN560(PE80,0.4)管(含管件)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315.00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315.00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25.67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25.67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922.00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885.00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59.93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57.52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DN450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306.00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287.00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15.30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14.35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298.00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270.00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10.43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9.45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1830.00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1830.00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35.69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35.69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(6)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DN225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1004.00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1010.00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16.28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16.38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(7)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DN160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597.00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550.00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5.97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5.50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(8)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管件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11.85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倒虹吸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64.21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61.45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DN500拖拉管倒虹吸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41.86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39.10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DN450拖拉管倒虹吸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5.75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5.75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DN400拖拉管倒虹吸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14.00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DN315拖拉管倒虹吸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2.60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2.60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阀门井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11.50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11.49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DN560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3.45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3.45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DN450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4.50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4.50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(6)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DN225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1.25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1.24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泄水阀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7.40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7.39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DN450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4.50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4.50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DN225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0.60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0.59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排气阀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2.42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2.42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连接井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灌溉过路管及路面拆除与修复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35.09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37.12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DN560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1.68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1.59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93.00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4.20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3.91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DN450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5.20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1.68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1.85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路面拆除与修复（管道过路）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535.50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585.00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22.49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24.57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给水栓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199.00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215.00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23.88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25.80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（三）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道路工程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60.45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57.59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新建道路2.5m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1540.00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1525.00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33.88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33.55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下田坡道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738.00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668.00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26.57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24.04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（四）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田块修筑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0.90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0.90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横召村3号灌区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819.31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777.24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（一）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123.73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116.39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新建排水沟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2055.00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1920.00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65.76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61.44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翻建排水沟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445.60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410.00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14.26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13.12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新建生态沟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358.00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358.30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1.55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1.55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过路搭板涵3.0m*3.0m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11.28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11.28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排水涵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2.34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2.34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农沟出水口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244.00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260.00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2.64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2.81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过沟板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21.91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20.22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支撑板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427.00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388.00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3.63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（二）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灌溉工程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542.79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511.07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泵站工程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56.77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56.76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房屋建筑工程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39.50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39.50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11.06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11.06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泵室及进出水池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23.94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23.94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围堰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3.75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3.75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机电设备及安装工程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11.21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11.21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金属结构设备及安装工程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1.80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1.80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(6)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低压电线接入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输水管道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317.58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290.77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DN560(PE80,0.4)管(含管件)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11.00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11.81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1923.00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1737.00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125.00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112.90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DN450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317.00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330.90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15.85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16.54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2440.00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2490.00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85.40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87.15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1282.00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1369.00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25.00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26.69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(6)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DN225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1533.00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1656.00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24.86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26.85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(7)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DN160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969.00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880.00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9.70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8.80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(8)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管件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20.78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倒虹吸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24.85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26.04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DN560拖拉管倒虹吸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33.00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8.40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9.24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DN500拖拉管倒虹吸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47.00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10.81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11.04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DN225拖拉管倒虹吸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47.00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5.64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5.76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阀门井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19.72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19.72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DN560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2.30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2.30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3.45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3.45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DN450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9.20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9.20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(6)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DN225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0.62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0.62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泄水阀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14.80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14.79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DN450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9.20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9.20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DN225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0.30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排气阀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5.45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5.45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连接井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灌溉过路管及路面拆除与修复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63.84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60.73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DN560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109.00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4.20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4.57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4.62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DN450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3.36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3.36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212.00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8.90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9.74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路面拆除与修复（管道过路）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1008.00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42.34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38.43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给水栓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323.00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298.00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38.76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35.76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（三）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道路工程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152.79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149.77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新建道路2.5m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262.50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239.00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5.78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5.25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新建道路4m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1496.00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1500.00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38.90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39.00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 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下田坡道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1080.00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980.00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28.08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25.48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桥梁（L=8m+13m+8m,B=4.6m）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133.40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133.40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80.04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80.04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 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接坡道路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横召村4号灌区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888.13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864.77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（一）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198.80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200.86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新建排水沟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2837.00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2837.00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90.78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90.78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翻建排水沟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1161.00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1250.00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37.15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新建生态沟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211.00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211.00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0.91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0.91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过路搭板涵3.0m*3.0m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21.54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21.54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排水涵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2.92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2.92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农沟出水口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392.00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368.00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4.24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3.97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过沟板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34.83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34.82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支撑板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686.00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630.00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6.42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5.89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（二）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灌溉工程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569.90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542.48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泵站工程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57.98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57.98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房屋建筑工程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39.50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39.50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11.06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11.06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泵室及进出水池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23.94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23.94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围堰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3.75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3.75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机电设备及安装工程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12.43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12.42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金属结构设备及安装工程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1.80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1.80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(6)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低压电线接入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输水管道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337.30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312.73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DN630(PE80,0.4)管(含管件)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694.00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760.00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68.01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74.48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946.00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886.00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61.49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57.59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DN450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801.00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730.00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40.05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36.50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1164.00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1048.00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40.74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36.68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3003.00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3173.50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58.56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61.88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(6)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DN225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2099.00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2101.30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34.04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34.08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(7)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DN160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1233.00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1151.00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12.34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11.51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(8)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管件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22.07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倒虹吸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18.77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19.46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DN500拖拉管倒虹吸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36.00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7.59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8.28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DN315拖拉管倒虹吸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86.00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86.00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11.18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11.18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阀门井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21.82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21.82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DN630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3.45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3.45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3.45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3.45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DN450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3.45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3.45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4.60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4.60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3.75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3.75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(6)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DN225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3.12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3.12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泄水阀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14.45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14.44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1.15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DN450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3.45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3.45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4.60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4.60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3.75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3.75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DN225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1.50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1.49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排气阀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6.97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6.96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连接井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灌溉过路管及路面拆除与修复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63.29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63.35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DN630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2.52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2.31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DN500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5.88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5.88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DN450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5.88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5.88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7.56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8.19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(5)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路面拆除与修复（管道过路）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987.00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978.48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41.45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41.09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给水栓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411.00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381.00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49.32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45.72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（三）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道路工程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119.23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121.22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新建道路2.5m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3505.00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3755.00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77.11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82.61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下田坡道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1170.00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1072.50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42.12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38.61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（四）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田块修筑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亩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横召村26组机口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22.38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19.85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（一）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灌溉工程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19.14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16.90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输水管道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14.97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13.95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245.00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245.00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8.58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8.58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4.89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DN160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69.00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0.52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管件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0.98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排气井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0.43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0.43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给水栓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2.76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（二）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道路工程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3.24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下田坡道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90.00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3.24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横召村25组机口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42.63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40.34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（一）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14.53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13.59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新建排水沟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284.00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256.00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9.09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8.19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过路搭板涵3.0m*3.0m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2.05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排水涵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0.29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农沟出水口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0.12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过沟板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2.53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支撑板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44.00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0.45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0.41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（二）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灌溉工程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28.11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26.74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泵站工程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3.32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更换机电设备</w:t>
            </w:r>
            <w:r>
              <w:rPr>
                <w:rStyle w:val="19"/>
                <w:rFonts w:hint="eastAsia" w:hAnsi="仿宋_GB2312"/>
                <w:sz w:val="24"/>
                <w:szCs w:val="24"/>
                <w:lang w:val="en-US" w:eastAsia="zh-CN" w:bidi="ar"/>
              </w:rPr>
              <w:t>1台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3.32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输水管道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9.65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(1)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DN315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263.00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263.00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5.13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(2)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DN225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222.00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200.00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3.33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(3)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DN160 (PE80,0.4)管(含管件)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70.00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0.56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(4)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管件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0.63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 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排气井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0.22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0.21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给水栓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3.00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 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路面拆除与修复（管道过路）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168.00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168.00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7.06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 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下田坡道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135.00 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125.00 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4.86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工程建设其他费用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190.20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158.04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(一)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项目管理费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60.01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28.91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(二)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施工监理费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29.68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29.60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(三)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招标费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19.70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19.17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(四)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勘察设计费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80.81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80.36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勘察费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23.95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23.86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设计费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56.86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56.50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tblHeader/>
          <w:jc w:val="center"/>
        </w:trPr>
        <w:tc>
          <w:tcPr>
            <w:tcW w:w="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</w:t>
            </w:r>
          </w:p>
        </w:tc>
        <w:tc>
          <w:tcPr>
            <w:tcW w:w="1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工程总投资</w:t>
            </w: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3046.76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2907.13</w:t>
            </w:r>
          </w:p>
        </w:tc>
      </w:tr>
    </w:tbl>
    <w:p>
      <w:pPr>
        <w:adjustRightInd w:val="0"/>
        <w:snapToGrid w:val="0"/>
        <w:spacing w:line="360" w:lineRule="auto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rPr>
          <w:rFonts w:hint="eastAsia" w:ascii="仿宋_GB2312" w:hAnsi="宋体" w:eastAsia="仿宋_GB2312"/>
          <w:sz w:val="32"/>
          <w:szCs w:val="32"/>
        </w:rPr>
      </w:pPr>
      <w:bookmarkStart w:id="0" w:name="_GoBack"/>
      <w:bookmarkEnd w:id="0"/>
    </w:p>
    <w:sectPr>
      <w:footerReference r:id="rId3" w:type="default"/>
      <w:pgSz w:w="11906" w:h="16838"/>
      <w:pgMar w:top="2098" w:right="1531" w:bottom="2098" w:left="1531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FangSong_GB2312">
    <w:altName w:val="仿宋_GB2312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altName w:val="Arial Unicode MS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7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M6pebnPAAAABQEAAA8AAAAAAAAA&#10;AQAgAAAAIgAAAGRycy9kb3ducmV2LnhtbFBLAQIUABQAAAAIAIdO4kAX03Hp4QEAAMwDAAAOAAAA&#10;AAAAAAEAIAAAAB4BAABkcnMvZTJvRG9jLnhtbFBLBQYAAAAABgAGAFkBAABx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7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decimal"/>
      <w:isLgl/>
      <w:suff w:val="space"/>
      <w:lvlText w:val="第%1章"/>
      <w:lvlJc w:val="left"/>
      <w:pPr>
        <w:tabs>
          <w:tab w:val="left" w:pos="0"/>
        </w:tabs>
        <w:ind w:left="2127" w:firstLine="0"/>
      </w:pPr>
      <w:rPr>
        <w:rFonts w:hint="eastAsia" w:ascii="Times New Roman" w:hAnsi="Times New Roman" w:eastAsia="黑体" w:cs="黑体"/>
        <w:b/>
        <w:sz w:val="32"/>
      </w:rPr>
    </w:lvl>
    <w:lvl w:ilvl="1" w:tentative="0">
      <w:start w:val="1"/>
      <w:numFmt w:val="decimal"/>
      <w:suff w:val="space"/>
      <w:lvlText w:val="%1.%2"/>
      <w:lvlJc w:val="left"/>
      <w:pPr>
        <w:tabs>
          <w:tab w:val="left" w:pos="0"/>
        </w:tabs>
        <w:ind w:left="710" w:firstLine="0"/>
      </w:pPr>
      <w:rPr>
        <w:rFonts w:hint="eastAsia" w:ascii="Times New Roman" w:hAnsi="Times New Roman" w:eastAsia="黑体" w:cs="黑体"/>
        <w:b/>
        <w:sz w:val="30"/>
      </w:rPr>
    </w:lvl>
    <w:lvl w:ilvl="2" w:tentative="0">
      <w:start w:val="1"/>
      <w:numFmt w:val="decimal"/>
      <w:pStyle w:val="2"/>
      <w:suff w:val="space"/>
      <w:lvlText w:val="%1.%2.%3"/>
      <w:lvlJc w:val="left"/>
      <w:pPr>
        <w:tabs>
          <w:tab w:val="left" w:pos="0"/>
        </w:tabs>
        <w:ind w:left="420" w:firstLine="0"/>
      </w:pPr>
      <w:rPr>
        <w:rFonts w:hint="default" w:ascii="Times New Roman" w:hAnsi="Times New Roman" w:eastAsia="黑体" w:cs="Times New Roman"/>
        <w:b/>
        <w:sz w:val="30"/>
        <w:szCs w:val="30"/>
      </w:rPr>
    </w:lvl>
    <w:lvl w:ilvl="3" w:tentative="0">
      <w:start w:val="1"/>
      <w:numFmt w:val="decimal"/>
      <w:suff w:val="space"/>
      <w:lvlText w:val="%1.%2.%3.%4"/>
      <w:lvlJc w:val="left"/>
      <w:pPr>
        <w:tabs>
          <w:tab w:val="left" w:pos="0"/>
        </w:tabs>
        <w:ind w:left="-367" w:firstLine="0"/>
      </w:pPr>
      <w:rPr>
        <w:rFonts w:hint="eastAsia" w:ascii="Times New Roman" w:hAnsi="Times New Roman" w:eastAsia="黑体" w:cs="黑体"/>
        <w:b/>
        <w:sz w:val="28"/>
      </w:rPr>
    </w:lvl>
    <w:lvl w:ilvl="4" w:tentative="0">
      <w:start w:val="1"/>
      <w:numFmt w:val="decimal"/>
      <w:suff w:val="nothing"/>
      <w:lvlText w:val="%5、"/>
      <w:lvlJc w:val="left"/>
      <w:pPr>
        <w:tabs>
          <w:tab w:val="left" w:pos="0"/>
        </w:tabs>
        <w:ind w:left="1901" w:firstLine="0"/>
      </w:pPr>
      <w:rPr>
        <w:rFonts w:hint="eastAsia" w:ascii="Times New Roman" w:hAnsi="Times New Roman" w:eastAsia="宋体" w:cs="宋体"/>
        <w:b w:val="0"/>
        <w:sz w:val="28"/>
      </w:rPr>
    </w:lvl>
    <w:lvl w:ilvl="5" w:tentative="0">
      <w:start w:val="1"/>
      <w:numFmt w:val="decimal"/>
      <w:lvlText w:val="%1.%2.%3.%4.%5.%6"/>
      <w:lvlJc w:val="left"/>
      <w:pPr>
        <w:tabs>
          <w:tab w:val="left" w:pos="5301"/>
        </w:tabs>
        <w:ind w:left="4653" w:hanging="1152"/>
      </w:pPr>
    </w:lvl>
    <w:lvl w:ilvl="6" w:tentative="0">
      <w:start w:val="1"/>
      <w:numFmt w:val="decimal"/>
      <w:lvlText w:val="%1.%2.%3.%4.%5.%6.%7"/>
      <w:lvlJc w:val="left"/>
      <w:pPr>
        <w:tabs>
          <w:tab w:val="left" w:pos="4797"/>
        </w:tabs>
        <w:ind w:left="4797" w:hanging="1296"/>
      </w:pPr>
    </w:lvl>
    <w:lvl w:ilvl="7" w:tentative="0">
      <w:start w:val="1"/>
      <w:numFmt w:val="decimal"/>
      <w:lvlText w:val="%1.%2.%3.%4.%5.%6.%7.%8"/>
      <w:lvlJc w:val="left"/>
      <w:pPr>
        <w:tabs>
          <w:tab w:val="left" w:pos="4941"/>
        </w:tabs>
        <w:ind w:left="4941" w:hanging="1440"/>
      </w:pPr>
    </w:lvl>
    <w:lvl w:ilvl="8" w:tentative="0">
      <w:start w:val="1"/>
      <w:numFmt w:val="decimal"/>
      <w:lvlText w:val="%1.%2.%3.%4.%5.%6.%7.%8.%9"/>
      <w:lvlJc w:val="left"/>
      <w:pPr>
        <w:tabs>
          <w:tab w:val="left" w:pos="5085"/>
        </w:tabs>
        <w:ind w:left="5085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NotDisplayPageBoundaries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9"/>
  <w:displayHorizontalDrawingGridEvery w:val="0"/>
  <w:displayVerticalDrawingGridEvery w:val="2"/>
  <w:doNotShadeFormData w:val="1"/>
  <w:characterSpacingControl w:val="compressPunctuation"/>
  <w:doNotValidateAgainstSchema/>
  <w:doNotDemarcateInvalidXml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NiNmU3ODBhNjNmMzM1ZWY3YmI4MzliOTY3NGMxNzMifQ=="/>
  </w:docVars>
  <w:rsids>
    <w:rsidRoot w:val="00172A27"/>
    <w:rsid w:val="00050B10"/>
    <w:rsid w:val="000D1ADE"/>
    <w:rsid w:val="001432E3"/>
    <w:rsid w:val="00147CC3"/>
    <w:rsid w:val="001734DB"/>
    <w:rsid w:val="001C0939"/>
    <w:rsid w:val="00267CA6"/>
    <w:rsid w:val="002B441C"/>
    <w:rsid w:val="002C5554"/>
    <w:rsid w:val="00350AD6"/>
    <w:rsid w:val="0044334B"/>
    <w:rsid w:val="00443546"/>
    <w:rsid w:val="00444727"/>
    <w:rsid w:val="004563F1"/>
    <w:rsid w:val="00516AB2"/>
    <w:rsid w:val="005C13C6"/>
    <w:rsid w:val="00632E07"/>
    <w:rsid w:val="00681338"/>
    <w:rsid w:val="006A2900"/>
    <w:rsid w:val="006B72F6"/>
    <w:rsid w:val="0074148E"/>
    <w:rsid w:val="00772E33"/>
    <w:rsid w:val="007741E3"/>
    <w:rsid w:val="00815B92"/>
    <w:rsid w:val="00860948"/>
    <w:rsid w:val="008A131D"/>
    <w:rsid w:val="00963F45"/>
    <w:rsid w:val="00A758AF"/>
    <w:rsid w:val="00A9680A"/>
    <w:rsid w:val="00AC3D96"/>
    <w:rsid w:val="00AC43DA"/>
    <w:rsid w:val="00AD1EDF"/>
    <w:rsid w:val="00B223FF"/>
    <w:rsid w:val="00B37EAA"/>
    <w:rsid w:val="00D44145"/>
    <w:rsid w:val="00D71244"/>
    <w:rsid w:val="00DB42B9"/>
    <w:rsid w:val="00DC099E"/>
    <w:rsid w:val="00EB1B82"/>
    <w:rsid w:val="00EC766C"/>
    <w:rsid w:val="00EF04F7"/>
    <w:rsid w:val="00F064AD"/>
    <w:rsid w:val="00F1376D"/>
    <w:rsid w:val="00F501A2"/>
    <w:rsid w:val="0124B2CF"/>
    <w:rsid w:val="0192432E"/>
    <w:rsid w:val="025A2002"/>
    <w:rsid w:val="027C7A30"/>
    <w:rsid w:val="029F7A0E"/>
    <w:rsid w:val="030B1005"/>
    <w:rsid w:val="031877B7"/>
    <w:rsid w:val="032E143E"/>
    <w:rsid w:val="0371C5E8"/>
    <w:rsid w:val="0390AFF9"/>
    <w:rsid w:val="0391AC6B"/>
    <w:rsid w:val="04F6E5CB"/>
    <w:rsid w:val="055C066F"/>
    <w:rsid w:val="05D23FBD"/>
    <w:rsid w:val="063B100F"/>
    <w:rsid w:val="064419CD"/>
    <w:rsid w:val="06674FA6"/>
    <w:rsid w:val="069B66EF"/>
    <w:rsid w:val="06BE6C24"/>
    <w:rsid w:val="07C9441E"/>
    <w:rsid w:val="07DF0D2D"/>
    <w:rsid w:val="088F5A83"/>
    <w:rsid w:val="08A20CDD"/>
    <w:rsid w:val="098E0C1E"/>
    <w:rsid w:val="0A1C647A"/>
    <w:rsid w:val="0A550975"/>
    <w:rsid w:val="0B64342D"/>
    <w:rsid w:val="0BD41E33"/>
    <w:rsid w:val="0BDD1805"/>
    <w:rsid w:val="0BFE7410"/>
    <w:rsid w:val="0C0703B8"/>
    <w:rsid w:val="0C1B45FA"/>
    <w:rsid w:val="0C5CA7BB"/>
    <w:rsid w:val="0CAD9053"/>
    <w:rsid w:val="0CE64A48"/>
    <w:rsid w:val="0D23BCD2"/>
    <w:rsid w:val="0D272909"/>
    <w:rsid w:val="0D306517"/>
    <w:rsid w:val="0D6C4DB1"/>
    <w:rsid w:val="0D97676D"/>
    <w:rsid w:val="0DB63935"/>
    <w:rsid w:val="0E0D383D"/>
    <w:rsid w:val="0E5B526F"/>
    <w:rsid w:val="0F034D0C"/>
    <w:rsid w:val="0F805FCB"/>
    <w:rsid w:val="0FCC5485"/>
    <w:rsid w:val="109B81AC"/>
    <w:rsid w:val="10A1439E"/>
    <w:rsid w:val="10C45D0D"/>
    <w:rsid w:val="10E85ACC"/>
    <w:rsid w:val="110E4A6D"/>
    <w:rsid w:val="11526D0C"/>
    <w:rsid w:val="11DB175F"/>
    <w:rsid w:val="12051818"/>
    <w:rsid w:val="12F6336D"/>
    <w:rsid w:val="13345D56"/>
    <w:rsid w:val="13747EC2"/>
    <w:rsid w:val="13E19799"/>
    <w:rsid w:val="14619DCB"/>
    <w:rsid w:val="15596E92"/>
    <w:rsid w:val="157A7CC1"/>
    <w:rsid w:val="164D61EB"/>
    <w:rsid w:val="166952C6"/>
    <w:rsid w:val="17176E9A"/>
    <w:rsid w:val="17FD09D8"/>
    <w:rsid w:val="1802668F"/>
    <w:rsid w:val="189AE3BB"/>
    <w:rsid w:val="18E54F25"/>
    <w:rsid w:val="190C563D"/>
    <w:rsid w:val="192224CD"/>
    <w:rsid w:val="193D6CD4"/>
    <w:rsid w:val="197D5A6B"/>
    <w:rsid w:val="19B376BA"/>
    <w:rsid w:val="1AB8BDBC"/>
    <w:rsid w:val="1ACE2D77"/>
    <w:rsid w:val="1B4813CC"/>
    <w:rsid w:val="1B6921A4"/>
    <w:rsid w:val="1C2515AB"/>
    <w:rsid w:val="1C574B21"/>
    <w:rsid w:val="1C7826E3"/>
    <w:rsid w:val="1D013153"/>
    <w:rsid w:val="1D7B0ED3"/>
    <w:rsid w:val="1E2526C2"/>
    <w:rsid w:val="1E6456A1"/>
    <w:rsid w:val="1F716A63"/>
    <w:rsid w:val="1FD242BB"/>
    <w:rsid w:val="200F3A3B"/>
    <w:rsid w:val="20710D47"/>
    <w:rsid w:val="211D69D4"/>
    <w:rsid w:val="21DF6DE7"/>
    <w:rsid w:val="22348DA4"/>
    <w:rsid w:val="223D5C0B"/>
    <w:rsid w:val="224D6C5C"/>
    <w:rsid w:val="22511B25"/>
    <w:rsid w:val="2297E7BB"/>
    <w:rsid w:val="22BD3EE5"/>
    <w:rsid w:val="22E228A9"/>
    <w:rsid w:val="232043CD"/>
    <w:rsid w:val="235B635C"/>
    <w:rsid w:val="236B7460"/>
    <w:rsid w:val="23B220F3"/>
    <w:rsid w:val="2400089A"/>
    <w:rsid w:val="24167D8B"/>
    <w:rsid w:val="246749B6"/>
    <w:rsid w:val="24A171C6"/>
    <w:rsid w:val="24BB4824"/>
    <w:rsid w:val="24F01E3D"/>
    <w:rsid w:val="253156C5"/>
    <w:rsid w:val="25646684"/>
    <w:rsid w:val="2625052C"/>
    <w:rsid w:val="2697E2FB"/>
    <w:rsid w:val="26FF4DEA"/>
    <w:rsid w:val="275D686B"/>
    <w:rsid w:val="27630095"/>
    <w:rsid w:val="27E11AF8"/>
    <w:rsid w:val="28040F18"/>
    <w:rsid w:val="28587D19"/>
    <w:rsid w:val="285E6F14"/>
    <w:rsid w:val="28631B2F"/>
    <w:rsid w:val="28CA6E8B"/>
    <w:rsid w:val="28E83C00"/>
    <w:rsid w:val="292E501E"/>
    <w:rsid w:val="29445986"/>
    <w:rsid w:val="29C7DCC2"/>
    <w:rsid w:val="29D14A92"/>
    <w:rsid w:val="2A3F5B74"/>
    <w:rsid w:val="2A5926F8"/>
    <w:rsid w:val="2A6951C2"/>
    <w:rsid w:val="2A9C7099"/>
    <w:rsid w:val="2AB93427"/>
    <w:rsid w:val="2B365E68"/>
    <w:rsid w:val="2B60478D"/>
    <w:rsid w:val="2BABC394"/>
    <w:rsid w:val="2BF115D1"/>
    <w:rsid w:val="2C61BD67"/>
    <w:rsid w:val="2C6F4F40"/>
    <w:rsid w:val="2D0949AD"/>
    <w:rsid w:val="2D801197"/>
    <w:rsid w:val="2D824FB8"/>
    <w:rsid w:val="2D990A44"/>
    <w:rsid w:val="2DDE68CA"/>
    <w:rsid w:val="2F0A2ED6"/>
    <w:rsid w:val="2F3259BC"/>
    <w:rsid w:val="2F5B4DBF"/>
    <w:rsid w:val="2F684938"/>
    <w:rsid w:val="2F6F2F65"/>
    <w:rsid w:val="2F703B31"/>
    <w:rsid w:val="302A7A93"/>
    <w:rsid w:val="309B533C"/>
    <w:rsid w:val="30AF76EE"/>
    <w:rsid w:val="30E26C43"/>
    <w:rsid w:val="31414553"/>
    <w:rsid w:val="3174A193"/>
    <w:rsid w:val="31B222E5"/>
    <w:rsid w:val="31C15DFC"/>
    <w:rsid w:val="31CC29CF"/>
    <w:rsid w:val="31DC5B56"/>
    <w:rsid w:val="323561BC"/>
    <w:rsid w:val="32484C01"/>
    <w:rsid w:val="324B7482"/>
    <w:rsid w:val="3255369D"/>
    <w:rsid w:val="3257CAF6"/>
    <w:rsid w:val="327230D4"/>
    <w:rsid w:val="32B621FC"/>
    <w:rsid w:val="32CC215A"/>
    <w:rsid w:val="33B64BA0"/>
    <w:rsid w:val="33BD4DF2"/>
    <w:rsid w:val="33DEB5CC"/>
    <w:rsid w:val="33E21C7E"/>
    <w:rsid w:val="33EA0F8F"/>
    <w:rsid w:val="34431933"/>
    <w:rsid w:val="345B6E2F"/>
    <w:rsid w:val="34930C0C"/>
    <w:rsid w:val="34DF4220"/>
    <w:rsid w:val="352A6E66"/>
    <w:rsid w:val="3579581B"/>
    <w:rsid w:val="35AB11B7"/>
    <w:rsid w:val="35EF015C"/>
    <w:rsid w:val="36156B6A"/>
    <w:rsid w:val="36314990"/>
    <w:rsid w:val="363549A0"/>
    <w:rsid w:val="36FB2C49"/>
    <w:rsid w:val="37167B5A"/>
    <w:rsid w:val="37F74229"/>
    <w:rsid w:val="38837865"/>
    <w:rsid w:val="38D554D9"/>
    <w:rsid w:val="38F50D01"/>
    <w:rsid w:val="391C7247"/>
    <w:rsid w:val="39331B22"/>
    <w:rsid w:val="395C08BE"/>
    <w:rsid w:val="396F3B52"/>
    <w:rsid w:val="39806B48"/>
    <w:rsid w:val="39AF714A"/>
    <w:rsid w:val="3A07DE1A"/>
    <w:rsid w:val="3A4A7BAB"/>
    <w:rsid w:val="3A645A31"/>
    <w:rsid w:val="3A8D3FEE"/>
    <w:rsid w:val="3ADBFDD6"/>
    <w:rsid w:val="3B0D06C6"/>
    <w:rsid w:val="3B734A46"/>
    <w:rsid w:val="3C11036E"/>
    <w:rsid w:val="3CD53619"/>
    <w:rsid w:val="3D0DAC69"/>
    <w:rsid w:val="3D382438"/>
    <w:rsid w:val="3DBB3892"/>
    <w:rsid w:val="3E4871CC"/>
    <w:rsid w:val="3E748492"/>
    <w:rsid w:val="3EFCF3B8"/>
    <w:rsid w:val="3F7DF207"/>
    <w:rsid w:val="3FB44710"/>
    <w:rsid w:val="40190973"/>
    <w:rsid w:val="40686B5D"/>
    <w:rsid w:val="409C3FBE"/>
    <w:rsid w:val="412210D2"/>
    <w:rsid w:val="422D3128"/>
    <w:rsid w:val="424210F0"/>
    <w:rsid w:val="427115F0"/>
    <w:rsid w:val="42837F09"/>
    <w:rsid w:val="42EB263E"/>
    <w:rsid w:val="438745DB"/>
    <w:rsid w:val="4412008D"/>
    <w:rsid w:val="44412FDF"/>
    <w:rsid w:val="44EC6E38"/>
    <w:rsid w:val="45120DBD"/>
    <w:rsid w:val="454657ED"/>
    <w:rsid w:val="4579295B"/>
    <w:rsid w:val="45BA7841"/>
    <w:rsid w:val="45E04EDF"/>
    <w:rsid w:val="45ED4E40"/>
    <w:rsid w:val="46396799"/>
    <w:rsid w:val="47252337"/>
    <w:rsid w:val="475E4EFD"/>
    <w:rsid w:val="47737232"/>
    <w:rsid w:val="482C2284"/>
    <w:rsid w:val="488A507C"/>
    <w:rsid w:val="4922214E"/>
    <w:rsid w:val="4975721F"/>
    <w:rsid w:val="4A1A19AC"/>
    <w:rsid w:val="4A2667D0"/>
    <w:rsid w:val="4A2C73B6"/>
    <w:rsid w:val="4AC1C72F"/>
    <w:rsid w:val="4AE1DF57"/>
    <w:rsid w:val="4AF77333"/>
    <w:rsid w:val="4B1FE52A"/>
    <w:rsid w:val="4BBE6944"/>
    <w:rsid w:val="4CF4076A"/>
    <w:rsid w:val="4CFD2C18"/>
    <w:rsid w:val="4D0B3AA6"/>
    <w:rsid w:val="4D206054"/>
    <w:rsid w:val="4D390DC5"/>
    <w:rsid w:val="4D3D7DC2"/>
    <w:rsid w:val="4DC411F5"/>
    <w:rsid w:val="4E7F72E6"/>
    <w:rsid w:val="4E862EBF"/>
    <w:rsid w:val="4ED733BB"/>
    <w:rsid w:val="4F244FC1"/>
    <w:rsid w:val="4F683116"/>
    <w:rsid w:val="4F795D40"/>
    <w:rsid w:val="4F911F96"/>
    <w:rsid w:val="4FF625D9"/>
    <w:rsid w:val="50BC2A2E"/>
    <w:rsid w:val="50D1CC69"/>
    <w:rsid w:val="5169300E"/>
    <w:rsid w:val="51A211C0"/>
    <w:rsid w:val="52045940"/>
    <w:rsid w:val="521A4C77"/>
    <w:rsid w:val="525C10DB"/>
    <w:rsid w:val="527D1264"/>
    <w:rsid w:val="532D78A8"/>
    <w:rsid w:val="53EAE57D"/>
    <w:rsid w:val="53F4612B"/>
    <w:rsid w:val="542E5B5C"/>
    <w:rsid w:val="54F640BE"/>
    <w:rsid w:val="55616F31"/>
    <w:rsid w:val="55B025AD"/>
    <w:rsid w:val="56341A44"/>
    <w:rsid w:val="5646EF42"/>
    <w:rsid w:val="56563AB2"/>
    <w:rsid w:val="58607915"/>
    <w:rsid w:val="586A307D"/>
    <w:rsid w:val="58994151"/>
    <w:rsid w:val="58B70530"/>
    <w:rsid w:val="59190DB3"/>
    <w:rsid w:val="59B604AF"/>
    <w:rsid w:val="5A49390F"/>
    <w:rsid w:val="5A4C7156"/>
    <w:rsid w:val="5A89F8F1"/>
    <w:rsid w:val="5B2F7416"/>
    <w:rsid w:val="5B677236"/>
    <w:rsid w:val="5B942CA2"/>
    <w:rsid w:val="5BF057F8"/>
    <w:rsid w:val="5C6529E7"/>
    <w:rsid w:val="5C6D4904"/>
    <w:rsid w:val="5C7E0BC1"/>
    <w:rsid w:val="5D11573D"/>
    <w:rsid w:val="5DB4008F"/>
    <w:rsid w:val="5DD375F9"/>
    <w:rsid w:val="5E69A9A1"/>
    <w:rsid w:val="5E961144"/>
    <w:rsid w:val="5F0B2CFC"/>
    <w:rsid w:val="5F245ECD"/>
    <w:rsid w:val="5FE96E49"/>
    <w:rsid w:val="60665FA4"/>
    <w:rsid w:val="611B2EF2"/>
    <w:rsid w:val="61659257"/>
    <w:rsid w:val="61984EEF"/>
    <w:rsid w:val="61DF1641"/>
    <w:rsid w:val="622218E1"/>
    <w:rsid w:val="627A4034"/>
    <w:rsid w:val="62AC49E2"/>
    <w:rsid w:val="62C4168B"/>
    <w:rsid w:val="62EE3531"/>
    <w:rsid w:val="62F71E18"/>
    <w:rsid w:val="6397C399"/>
    <w:rsid w:val="63CD01F4"/>
    <w:rsid w:val="63F84711"/>
    <w:rsid w:val="64561C39"/>
    <w:rsid w:val="647E5402"/>
    <w:rsid w:val="65121D6E"/>
    <w:rsid w:val="65394C9D"/>
    <w:rsid w:val="6552C96C"/>
    <w:rsid w:val="659D4BAD"/>
    <w:rsid w:val="6601D4B3"/>
    <w:rsid w:val="661451C8"/>
    <w:rsid w:val="665F3BDD"/>
    <w:rsid w:val="668734C3"/>
    <w:rsid w:val="67377EB4"/>
    <w:rsid w:val="67393594"/>
    <w:rsid w:val="679818B2"/>
    <w:rsid w:val="67DF54EA"/>
    <w:rsid w:val="681419D0"/>
    <w:rsid w:val="681E22E0"/>
    <w:rsid w:val="68762C19"/>
    <w:rsid w:val="689D05FB"/>
    <w:rsid w:val="690751D1"/>
    <w:rsid w:val="693C4CB6"/>
    <w:rsid w:val="696718B2"/>
    <w:rsid w:val="698A6FB3"/>
    <w:rsid w:val="69BF5254"/>
    <w:rsid w:val="69E12DA7"/>
    <w:rsid w:val="69E38663"/>
    <w:rsid w:val="6A1D73A8"/>
    <w:rsid w:val="6AF23CF2"/>
    <w:rsid w:val="6B27611D"/>
    <w:rsid w:val="6B2D4C6D"/>
    <w:rsid w:val="6B586C85"/>
    <w:rsid w:val="6B6E0976"/>
    <w:rsid w:val="6B8C22BB"/>
    <w:rsid w:val="6BA1DDD1"/>
    <w:rsid w:val="6D094C13"/>
    <w:rsid w:val="6DC421CB"/>
    <w:rsid w:val="6DD488AD"/>
    <w:rsid w:val="6E45402E"/>
    <w:rsid w:val="6F13FD0F"/>
    <w:rsid w:val="6F950EE3"/>
    <w:rsid w:val="6FFA11F8"/>
    <w:rsid w:val="703D6DEC"/>
    <w:rsid w:val="70B42420"/>
    <w:rsid w:val="70F76219"/>
    <w:rsid w:val="728A9DB2"/>
    <w:rsid w:val="72D14B1D"/>
    <w:rsid w:val="73CF3E67"/>
    <w:rsid w:val="73F840D7"/>
    <w:rsid w:val="744637CD"/>
    <w:rsid w:val="748E5A95"/>
    <w:rsid w:val="752F1809"/>
    <w:rsid w:val="75534A63"/>
    <w:rsid w:val="7573587A"/>
    <w:rsid w:val="75842548"/>
    <w:rsid w:val="75C22E3F"/>
    <w:rsid w:val="75EBA4B0"/>
    <w:rsid w:val="764B1C5E"/>
    <w:rsid w:val="77AC5F6B"/>
    <w:rsid w:val="77D33117"/>
    <w:rsid w:val="78084687"/>
    <w:rsid w:val="7893B2E7"/>
    <w:rsid w:val="7A155263"/>
    <w:rsid w:val="7AC1ADBE"/>
    <w:rsid w:val="7ACF380F"/>
    <w:rsid w:val="7AF21C99"/>
    <w:rsid w:val="7B071F96"/>
    <w:rsid w:val="7B51372B"/>
    <w:rsid w:val="7B712B8B"/>
    <w:rsid w:val="7B7F205F"/>
    <w:rsid w:val="7BD1036B"/>
    <w:rsid w:val="7C972699"/>
    <w:rsid w:val="7CEB4249"/>
    <w:rsid w:val="7DA7D171"/>
    <w:rsid w:val="7DE04D09"/>
    <w:rsid w:val="7E0334BB"/>
    <w:rsid w:val="7E563231"/>
    <w:rsid w:val="7E6E0086"/>
    <w:rsid w:val="7E7228AD"/>
    <w:rsid w:val="7EF71E38"/>
    <w:rsid w:val="7F3A5F95"/>
    <w:rsid w:val="7FD4333F"/>
    <w:rsid w:val="814607F1"/>
    <w:rsid w:val="827F66EA"/>
    <w:rsid w:val="8712D5BF"/>
    <w:rsid w:val="8A230249"/>
    <w:rsid w:val="8A7E2306"/>
    <w:rsid w:val="8BD279DE"/>
    <w:rsid w:val="8CC80CF6"/>
    <w:rsid w:val="8D4D9154"/>
    <w:rsid w:val="905E4846"/>
    <w:rsid w:val="9073ED36"/>
    <w:rsid w:val="90AD3391"/>
    <w:rsid w:val="9104D367"/>
    <w:rsid w:val="99F7399A"/>
    <w:rsid w:val="9B7E371D"/>
    <w:rsid w:val="9C3CEB32"/>
    <w:rsid w:val="9D6BAB54"/>
    <w:rsid w:val="9DD46093"/>
    <w:rsid w:val="9FAE8C86"/>
    <w:rsid w:val="A1FD7762"/>
    <w:rsid w:val="A233E016"/>
    <w:rsid w:val="A239CE09"/>
    <w:rsid w:val="A3211800"/>
    <w:rsid w:val="A4C8099B"/>
    <w:rsid w:val="A79D1AA0"/>
    <w:rsid w:val="A7AF7A21"/>
    <w:rsid w:val="A7CA6AF2"/>
    <w:rsid w:val="A8281BB8"/>
    <w:rsid w:val="A86AD22A"/>
    <w:rsid w:val="AA525D8D"/>
    <w:rsid w:val="AAA28C76"/>
    <w:rsid w:val="AE498D47"/>
    <w:rsid w:val="AEC66071"/>
    <w:rsid w:val="B043DB86"/>
    <w:rsid w:val="B0D7F555"/>
    <w:rsid w:val="B27750C5"/>
    <w:rsid w:val="B3A00CC2"/>
    <w:rsid w:val="B41C1719"/>
    <w:rsid w:val="B5A99246"/>
    <w:rsid w:val="B6C60FA9"/>
    <w:rsid w:val="BAA328DD"/>
    <w:rsid w:val="BF941AC1"/>
    <w:rsid w:val="C0045C64"/>
    <w:rsid w:val="C4075291"/>
    <w:rsid w:val="C5F83CDE"/>
    <w:rsid w:val="CDC98D40"/>
    <w:rsid w:val="CEC9F441"/>
    <w:rsid w:val="CF3BC41B"/>
    <w:rsid w:val="D0845CB4"/>
    <w:rsid w:val="D18920B2"/>
    <w:rsid w:val="D1F263C2"/>
    <w:rsid w:val="D7AFF1D0"/>
    <w:rsid w:val="D7CAA56A"/>
    <w:rsid w:val="D8EE0AD6"/>
    <w:rsid w:val="D8F0E359"/>
    <w:rsid w:val="D90398AF"/>
    <w:rsid w:val="DD6B1438"/>
    <w:rsid w:val="E1F96118"/>
    <w:rsid w:val="E2D0790D"/>
    <w:rsid w:val="E345C54F"/>
    <w:rsid w:val="E3C39E6B"/>
    <w:rsid w:val="E4CCA333"/>
    <w:rsid w:val="E545EADD"/>
    <w:rsid w:val="E5F462DB"/>
    <w:rsid w:val="E6781385"/>
    <w:rsid w:val="E6A4CF1D"/>
    <w:rsid w:val="E7428583"/>
    <w:rsid w:val="E8AE3B04"/>
    <w:rsid w:val="ECFF87CC"/>
    <w:rsid w:val="ED6601FC"/>
    <w:rsid w:val="EE6FA2B8"/>
    <w:rsid w:val="F0916BB3"/>
    <w:rsid w:val="F44DC380"/>
    <w:rsid w:val="F4D229BA"/>
    <w:rsid w:val="F7798ECA"/>
    <w:rsid w:val="F7BFD9BF"/>
    <w:rsid w:val="F9C60F0E"/>
    <w:rsid w:val="FAC76E0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3"/>
    <w:link w:val="11"/>
    <w:uiPriority w:val="0"/>
    <w:pPr>
      <w:keepNext w:val="0"/>
      <w:keepLines w:val="0"/>
      <w:widowControl w:val="0"/>
      <w:numPr>
        <w:ilvl w:val="2"/>
        <w:numId w:val="1"/>
      </w:numPr>
      <w:suppressLineNumbers w:val="0"/>
      <w:adjustRightInd w:val="0"/>
      <w:spacing w:before="120" w:beforeAutospacing="0" w:after="0" w:afterAutospacing="0" w:line="360" w:lineRule="auto"/>
      <w:ind w:left="420" w:right="0" w:firstLine="0" w:firstLineChars="0"/>
      <w:jc w:val="both"/>
      <w:outlineLvl w:val="2"/>
    </w:pPr>
    <w:rPr>
      <w:rFonts w:hint="default" w:ascii="Times New Roman" w:hAnsi="Times New Roman" w:eastAsia="宋体" w:cs="Times New Roman"/>
      <w:b/>
      <w:kern w:val="0"/>
      <w:sz w:val="30"/>
      <w:szCs w:val="30"/>
      <w:lang w:val="en-US" w:eastAsia="zh-CN" w:bidi="ar"/>
    </w:rPr>
  </w:style>
  <w:style w:type="character" w:default="1" w:styleId="9">
    <w:name w:val="Default Paragraph Font"/>
    <w:uiPriority w:val="0"/>
    <w:rPr>
      <w:rFonts w:ascii="Calibri" w:hAnsi="Calibri" w:eastAsia="宋体" w:cs="Calibri"/>
    </w:rPr>
  </w:style>
  <w:style w:type="table" w:default="1" w:styleId="8">
    <w:name w:val="Normal Table"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ascii="Calibri" w:hAnsi="Calibri" w:eastAsia="宋体" w:cs="Times New Roman"/>
      <w:kern w:val="2"/>
      <w:sz w:val="21"/>
      <w:szCs w:val="22"/>
    </w:rPr>
    <w:tblPr>
      <w:tblStyle w:val="8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uiPriority w:val="0"/>
    <w:pPr>
      <w:ind w:firstLine="420" w:firstLineChars="200"/>
    </w:pPr>
    <w:rPr>
      <w:rFonts w:ascii="Calibri" w:hAnsi="Calibri" w:eastAsia="宋体" w:cs="Calibri"/>
    </w:rPr>
  </w:style>
  <w:style w:type="paragraph" w:styleId="4">
    <w:name w:val="Balloon Text"/>
    <w:basedOn w:val="1"/>
    <w:link w:val="12"/>
    <w:uiPriority w:val="0"/>
    <w:rPr>
      <w:rFonts w:ascii="Calibri" w:hAnsi="Calibri" w:eastAsia="宋体" w:cs="Calibri"/>
      <w:sz w:val="18"/>
      <w:szCs w:val="18"/>
    </w:r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Calibri"/>
      <w:sz w:val="18"/>
      <w:szCs w:val="18"/>
    </w:rPr>
  </w:style>
  <w:style w:type="paragraph" w:styleId="6">
    <w:name w:val="header"/>
    <w:basedOn w:val="1"/>
    <w:link w:val="13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 w:cs="Calibri"/>
      <w:sz w:val="18"/>
      <w:szCs w:val="18"/>
    </w:rPr>
  </w:style>
  <w:style w:type="paragraph" w:styleId="7">
    <w:name w:val="Body Text 2"/>
    <w:basedOn w:val="1"/>
    <w:link w:val="14"/>
    <w:uiPriority w:val="0"/>
    <w:pPr>
      <w:spacing w:after="120" w:afterLines="0" w:afterAutospacing="0" w:line="480" w:lineRule="auto"/>
    </w:pPr>
    <w:rPr>
      <w:rFonts w:ascii="Calibri" w:hAnsi="Calibri" w:eastAsia="宋体" w:cs="Calibri"/>
    </w:rPr>
  </w:style>
  <w:style w:type="character" w:styleId="10">
    <w:name w:val="page number"/>
    <w:basedOn w:val="9"/>
    <w:uiPriority w:val="0"/>
    <w:rPr>
      <w:rFonts w:ascii="Calibri" w:hAnsi="Calibri" w:eastAsia="宋体" w:cs="Calibri"/>
    </w:rPr>
  </w:style>
  <w:style w:type="character" w:customStyle="1" w:styleId="11">
    <w:name w:val="标题 3 Char"/>
    <w:basedOn w:val="9"/>
    <w:link w:val="2"/>
    <w:uiPriority w:val="0"/>
    <w:rPr>
      <w:rFonts w:ascii="Calibri" w:hAnsi="Calibri" w:eastAsia="宋体" w:cs="Calibri"/>
      <w:b/>
      <w:sz w:val="30"/>
      <w:szCs w:val="30"/>
    </w:rPr>
  </w:style>
  <w:style w:type="character" w:customStyle="1" w:styleId="12">
    <w:name w:val="批注框文本 Char"/>
    <w:basedOn w:val="9"/>
    <w:link w:val="4"/>
    <w:uiPriority w:val="0"/>
    <w:rPr>
      <w:rFonts w:ascii="Calibri" w:hAnsi="Calibri" w:eastAsia="宋体" w:cs="Calibri"/>
      <w:kern w:val="2"/>
      <w:sz w:val="18"/>
      <w:szCs w:val="18"/>
    </w:rPr>
  </w:style>
  <w:style w:type="character" w:customStyle="1" w:styleId="13">
    <w:name w:val="页眉 Char"/>
    <w:basedOn w:val="9"/>
    <w:link w:val="6"/>
    <w:uiPriority w:val="0"/>
    <w:rPr>
      <w:rFonts w:ascii="Calibri" w:hAnsi="Calibri" w:eastAsia="宋体" w:cs="Calibri"/>
      <w:kern w:val="2"/>
      <w:sz w:val="18"/>
      <w:szCs w:val="18"/>
    </w:rPr>
  </w:style>
  <w:style w:type="character" w:customStyle="1" w:styleId="14">
    <w:name w:val="正文文本 2 Char"/>
    <w:basedOn w:val="9"/>
    <w:link w:val="7"/>
    <w:uiPriority w:val="0"/>
    <w:rPr>
      <w:rFonts w:hint="default" w:ascii="Calibri" w:hAnsi="Calibri" w:eastAsia="宋体" w:cs="Times New Roman"/>
      <w:kern w:val="2"/>
      <w:sz w:val="21"/>
      <w:szCs w:val="24"/>
    </w:rPr>
  </w:style>
  <w:style w:type="character" w:customStyle="1" w:styleId="15">
    <w:name w:val="font11"/>
    <w:basedOn w:val="9"/>
    <w:uiPriority w:val="0"/>
    <w:rPr>
      <w:rFonts w:hint="default" w:ascii="仿宋_GB2312" w:hAnsi="Calibri" w:eastAsia="仿宋_GB2312" w:cs="仿宋_GB2312"/>
      <w:color w:val="000000"/>
      <w:sz w:val="20"/>
      <w:szCs w:val="20"/>
      <w:u w:val="none"/>
    </w:rPr>
  </w:style>
  <w:style w:type="character" w:customStyle="1" w:styleId="16">
    <w:name w:val="font171"/>
    <w:basedOn w:val="9"/>
    <w:uiPriority w:val="0"/>
    <w:rPr>
      <w:rFonts w:hint="eastAsia" w:ascii="仿宋_GB2312" w:eastAsia="仿宋_GB2312" w:cs="仿宋_GB2312"/>
      <w:color w:val="000000"/>
      <w:sz w:val="24"/>
      <w:szCs w:val="24"/>
      <w:u w:val="none"/>
      <w:vertAlign w:val="superscript"/>
    </w:rPr>
  </w:style>
  <w:style w:type="character" w:customStyle="1" w:styleId="17">
    <w:name w:val="font61"/>
    <w:basedOn w:val="9"/>
    <w:uiPriority w:val="0"/>
    <w:rPr>
      <w:rFonts w:hint="default" w:ascii="仿宋_GB2312" w:hAnsi="Calibri" w:eastAsia="仿宋_GB2312" w:cs="仿宋_GB2312"/>
      <w:b/>
      <w:color w:val="000000"/>
      <w:sz w:val="20"/>
      <w:szCs w:val="20"/>
      <w:u w:val="none"/>
    </w:rPr>
  </w:style>
  <w:style w:type="character" w:customStyle="1" w:styleId="18">
    <w:name w:val="font12"/>
    <w:basedOn w:val="9"/>
    <w:uiPriority w:val="0"/>
    <w:rPr>
      <w:rFonts w:hint="default" w:ascii="仿宋_GB2312" w:hAnsi="Calibri" w:eastAsia="仿宋_GB2312" w:cs="仿宋_GB2312"/>
      <w:b/>
      <w:color w:val="000000"/>
      <w:sz w:val="20"/>
      <w:szCs w:val="20"/>
      <w:u w:val="none"/>
    </w:rPr>
  </w:style>
  <w:style w:type="character" w:customStyle="1" w:styleId="19">
    <w:name w:val="font81"/>
    <w:basedOn w:val="9"/>
    <w:uiPriority w:val="0"/>
    <w:rPr>
      <w:rFonts w:hint="default" w:ascii="仿宋_GB2312" w:hAnsi="Calibri" w:eastAsia="仿宋_GB2312" w:cs="仿宋_GB2312"/>
      <w:color w:val="000000"/>
      <w:sz w:val="20"/>
      <w:szCs w:val="20"/>
      <w:u w:val="none"/>
    </w:rPr>
  </w:style>
  <w:style w:type="character" w:customStyle="1" w:styleId="20">
    <w:name w:val="font51"/>
    <w:basedOn w:val="9"/>
    <w:uiPriority w:val="0"/>
    <w:rPr>
      <w:rFonts w:ascii="仿宋_GB2312" w:hAnsi="Calibri" w:eastAsia="仿宋_GB2312" w:cs="仿宋_GB2312"/>
      <w:b/>
      <w:color w:val="000000"/>
      <w:sz w:val="20"/>
      <w:szCs w:val="20"/>
      <w:u w:val="none"/>
    </w:rPr>
  </w:style>
  <w:style w:type="character" w:customStyle="1" w:styleId="21">
    <w:name w:val="font41"/>
    <w:basedOn w:val="9"/>
    <w:uiPriority w:val="0"/>
    <w:rPr>
      <w:rFonts w:hint="default" w:ascii="仿宋_GB2312" w:hAnsi="Calibri" w:eastAsia="仿宋_GB2312" w:cs="仿宋_GB2312"/>
      <w:b/>
      <w:color w:val="000000"/>
      <w:sz w:val="20"/>
      <w:szCs w:val="20"/>
      <w:u w:val="none"/>
    </w:rPr>
  </w:style>
  <w:style w:type="character" w:customStyle="1" w:styleId="22">
    <w:name w:val="font91"/>
    <w:basedOn w:val="9"/>
    <w:uiPriority w:val="0"/>
    <w:rPr>
      <w:rFonts w:hint="default" w:ascii="Times New Roman" w:hAnsi="Times New Roman" w:eastAsia="宋体" w:cs="Times New Roman"/>
      <w:color w:val="000000"/>
      <w:sz w:val="20"/>
      <w:szCs w:val="20"/>
      <w:u w:val="none"/>
    </w:rPr>
  </w:style>
  <w:style w:type="character" w:customStyle="1" w:styleId="23">
    <w:name w:val="font31"/>
    <w:basedOn w:val="9"/>
    <w:uiPriority w:val="0"/>
    <w:rPr>
      <w:rFonts w:hint="default" w:ascii="Times New Roman" w:hAnsi="Times New Roman" w:eastAsia="宋体" w:cs="Times New Roman"/>
      <w:color w:val="000000"/>
      <w:sz w:val="20"/>
      <w:szCs w:val="20"/>
      <w:u w:val="none"/>
    </w:rPr>
  </w:style>
  <w:style w:type="character" w:customStyle="1" w:styleId="24">
    <w:name w:val="font112"/>
    <w:basedOn w:val="9"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25">
    <w:name w:val="font21"/>
    <w:basedOn w:val="9"/>
    <w:uiPriority w:val="0"/>
    <w:rPr>
      <w:rFonts w:hint="default" w:ascii="仿宋_GB2312" w:hAnsi="Calibri" w:eastAsia="仿宋_GB2312" w:cs="仿宋_GB2312"/>
      <w:b/>
      <w:color w:val="000000"/>
      <w:sz w:val="20"/>
      <w:szCs w:val="20"/>
      <w:u w:val="none"/>
    </w:rPr>
  </w:style>
  <w:style w:type="character" w:customStyle="1" w:styleId="26">
    <w:name w:val="font71"/>
    <w:basedOn w:val="9"/>
    <w:uiPriority w:val="0"/>
    <w:rPr>
      <w:rFonts w:hint="default" w:ascii="仿宋_GB2312" w:hAnsi="Calibri" w:eastAsia="仿宋_GB2312" w:cs="仿宋_GB2312"/>
      <w:color w:val="000000"/>
      <w:sz w:val="20"/>
      <w:szCs w:val="20"/>
      <w:u w:val="none"/>
    </w:rPr>
  </w:style>
  <w:style w:type="character" w:customStyle="1" w:styleId="27">
    <w:name w:val="font01"/>
    <w:basedOn w:val="9"/>
    <w:uiPriority w:val="0"/>
    <w:rPr>
      <w:rFonts w:hint="default" w:ascii="Times New Roman" w:hAnsi="Times New Roman" w:eastAsia="宋体" w:cs="Times New Roman"/>
      <w:color w:val="000000"/>
      <w:sz w:val="20"/>
      <w:szCs w:val="20"/>
      <w:u w:val="none"/>
      <w:vertAlign w:val="superscript"/>
    </w:rPr>
  </w:style>
  <w:style w:type="character" w:customStyle="1" w:styleId="28">
    <w:name w:val="fontstyle01"/>
    <w:basedOn w:val="9"/>
    <w:uiPriority w:val="0"/>
    <w:rPr>
      <w:rFonts w:hint="eastAsia" w:ascii="仿宋_GB2312" w:hAnsi="仿宋_GB2312" w:eastAsia="仿宋_GB2312" w:cs="仿宋_GB2312"/>
      <w:color w:val="000000"/>
      <w:sz w:val="32"/>
      <w:szCs w:val="32"/>
    </w:rPr>
  </w:style>
  <w:style w:type="character" w:customStyle="1" w:styleId="29">
    <w:name w:val="font111"/>
    <w:basedOn w:val="9"/>
    <w:uiPriority w:val="0"/>
    <w:rPr>
      <w:rFonts w:hint="eastAsia" w:ascii="仿宋_GB2312" w:eastAsia="仿宋_GB2312" w:cs="仿宋_GB2312"/>
      <w:color w:val="000000"/>
      <w:sz w:val="20"/>
      <w:szCs w:val="20"/>
      <w:u w:val="none"/>
    </w:rPr>
  </w:style>
  <w:style w:type="paragraph" w:customStyle="1" w:styleId="30">
    <w:name w:val="列出段落1"/>
    <w:basedOn w:val="1"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 w:firstLine="420" w:firstLineChars="20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120</Words>
  <Characters>690</Characters>
  <Lines>5</Lines>
  <Paragraphs>1</Paragraphs>
  <TotalTime>243.666666666667</TotalTime>
  <ScaleCrop>false</ScaleCrop>
  <LinksUpToDate>false</LinksUpToDate>
  <CharactersWithSpaces>809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2018-07-27T11:05:00Z</dcterms:created>
  <dc:creator>Kax</dc:creator>
  <cp:lastModifiedBy>yms</cp:lastModifiedBy>
  <cp:lastPrinted>2021-07-09T22:13:29Z</cp:lastPrinted>
  <dcterms:modified xsi:type="dcterms:W3CDTF">2023-10-10T08:50:36Z</dcterms:modified>
  <dc:title>上海市农业委员会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915A1294B4804084B7425FD10FD6EF79_13</vt:lpwstr>
  </property>
</Properties>
</file>