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contextualSpacing/>
        <w:jc w:val="center"/>
        <w:rPr>
          <w:rFonts w:ascii="宋体" w:hAnsi="宋体" w:eastAsia="宋体"/>
          <w:b/>
          <w:sz w:val="44"/>
          <w:szCs w:val="44"/>
        </w:rPr>
      </w:pPr>
      <w:r>
        <w:rPr>
          <w:rFonts w:hint="eastAsia" w:ascii="宋体" w:hAnsi="宋体" w:eastAsia="宋体"/>
          <w:b/>
          <w:sz w:val="44"/>
          <w:szCs w:val="44"/>
        </w:rPr>
        <w:t>上海渔港监督局渔业执法事迹介绍</w:t>
      </w:r>
    </w:p>
    <w:p>
      <w:pPr>
        <w:adjustRightInd w:val="0"/>
        <w:contextualSpacing/>
        <w:jc w:val="center"/>
        <w:rPr>
          <w:rFonts w:ascii="宋体" w:hAnsi="宋体" w:eastAsia="宋体"/>
          <w:b/>
          <w:sz w:val="44"/>
          <w:szCs w:val="44"/>
        </w:rPr>
      </w:pPr>
    </w:p>
    <w:p>
      <w:pPr>
        <w:adjustRightInd w:val="0"/>
        <w:ind w:firstLine="640" w:firstLineChars="200"/>
        <w:contextualSpacing/>
        <w:rPr>
          <w:rFonts w:ascii="仿宋_GB2312"/>
          <w:szCs w:val="32"/>
        </w:rPr>
      </w:pPr>
      <w:r>
        <w:rPr>
          <w:rFonts w:hint="eastAsia" w:ascii="仿宋_GB2312"/>
          <w:sz w:val="32"/>
          <w:szCs w:val="32"/>
        </w:rPr>
        <w:t>上海渔港监督局始终围绕“生命至上、安全发展”的工作要求，坚持以强有力的事中事后监管促进渔业安全发展，以高压态势查处违法违章行为，稳步提升渔业行政执法工作成效，确保上海渔业安全生产形势总体平稳可控。</w:t>
      </w:r>
      <w:r>
        <w:rPr>
          <w:rFonts w:ascii="仿宋_GB2312"/>
          <w:szCs w:val="32"/>
        </w:rPr>
        <w:t xml:space="preserve"> </w:t>
      </w:r>
    </w:p>
    <w:p>
      <w:pPr>
        <w:adjustRightInd w:val="0"/>
        <w:ind w:firstLine="640" w:firstLineChars="200"/>
        <w:contextualSpacing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</w:t>
      </w:r>
      <w:r>
        <w:rPr>
          <w:rFonts w:hint="eastAsia" w:ascii="黑体" w:hAnsi="黑体" w:eastAsia="黑体" w:cs="仿宋_GB2312"/>
          <w:sz w:val="32"/>
          <w:szCs w:val="32"/>
        </w:rPr>
        <w:t>加强顶层设计，提升执法效能</w:t>
      </w:r>
    </w:p>
    <w:p>
      <w:pPr>
        <w:adjustRightInd w:val="0"/>
        <w:ind w:firstLine="640" w:firstLineChars="200"/>
        <w:contextualSpacing/>
        <w:rPr>
          <w:rFonts w:ascii="黑体" w:eastAsia="黑体"/>
          <w:sz w:val="32"/>
          <w:szCs w:val="32"/>
        </w:rPr>
      </w:pPr>
      <w:r>
        <w:rPr>
          <w:rFonts w:hint="eastAsia" w:ascii="仿宋_GB2312" w:cs="仿宋_GB2312"/>
          <w:sz w:val="32"/>
          <w:szCs w:val="32"/>
        </w:rPr>
        <w:t>成立渔业安全执法检查领导小组和督查小组，制定渔业行政执法工作计划，对各项工作抓部署、抓启动、抓落实，结合渔船进出港时机等因素，科学安排执法计划，做到“全天候”、“全水域”执法，提升了执法效能，取得了良好执法效果，以实际行动当好全国渔港监督执法工作的排头兵和先行者。</w:t>
      </w:r>
    </w:p>
    <w:p>
      <w:pPr>
        <w:adjustRightInd w:val="0"/>
        <w:ind w:firstLine="640" w:firstLineChars="200"/>
        <w:contextualSpacing/>
        <w:rPr>
          <w:rFonts w:ascii="仿宋_GB2312" w:cs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二、加强队伍建设，提高执法水平</w:t>
      </w:r>
    </w:p>
    <w:p>
      <w:pPr>
        <w:adjustRightInd w:val="0"/>
        <w:ind w:firstLine="640" w:firstLineChars="200"/>
        <w:contextualSpacing/>
        <w:rPr>
          <w:rFonts w:ascii="仿宋_GB2312" w:cs="仿宋_GB2312"/>
          <w:sz w:val="32"/>
          <w:szCs w:val="32"/>
        </w:rPr>
      </w:pPr>
      <w:r>
        <w:rPr>
          <w:rFonts w:hint="eastAsia" w:ascii="仿宋_GB2312" w:cs="仿宋_GB2312"/>
          <w:sz w:val="32"/>
          <w:szCs w:val="32"/>
        </w:rPr>
        <w:t>建立健全渔业行政执法督查机制。</w:t>
      </w:r>
      <w:r>
        <w:rPr>
          <w:rFonts w:ascii="仿宋_GB2312" w:cs="仿宋_GB2312"/>
          <w:b/>
          <w:sz w:val="32"/>
          <w:szCs w:val="32"/>
        </w:rPr>
        <w:t>一是</w:t>
      </w:r>
      <w:r>
        <w:rPr>
          <w:rFonts w:ascii="仿宋_GB2312" w:cs="仿宋_GB2312"/>
          <w:sz w:val="32"/>
          <w:szCs w:val="32"/>
        </w:rPr>
        <w:t>落实行政执法责任制，建立行政执法过错追究制度，渔政执法人员责任落实到人</w:t>
      </w:r>
      <w:r>
        <w:rPr>
          <w:rFonts w:hint="eastAsia" w:ascii="仿宋_GB2312" w:cs="仿宋_GB2312"/>
          <w:sz w:val="32"/>
          <w:szCs w:val="32"/>
        </w:rPr>
        <w:t>。</w:t>
      </w:r>
      <w:r>
        <w:rPr>
          <w:rFonts w:ascii="仿宋_GB2312" w:cs="仿宋_GB2312"/>
          <w:b/>
          <w:sz w:val="32"/>
          <w:szCs w:val="32"/>
        </w:rPr>
        <w:t>二是</w:t>
      </w:r>
      <w:r>
        <w:rPr>
          <w:rFonts w:ascii="仿宋_GB2312" w:cs="仿宋_GB2312"/>
          <w:sz w:val="32"/>
          <w:szCs w:val="32"/>
        </w:rPr>
        <w:t>贯彻《六条禁令》和《上海市行政执法人员行为规范》，规范着装、规范言行、规范执法行为</w:t>
      </w:r>
      <w:r>
        <w:rPr>
          <w:rFonts w:hint="eastAsia" w:ascii="仿宋_GB2312" w:cs="仿宋_GB2312"/>
          <w:sz w:val="32"/>
          <w:szCs w:val="32"/>
        </w:rPr>
        <w:t>。</w:t>
      </w:r>
      <w:r>
        <w:rPr>
          <w:rFonts w:ascii="仿宋_GB2312" w:cs="仿宋_GB2312"/>
          <w:b/>
          <w:sz w:val="32"/>
          <w:szCs w:val="32"/>
        </w:rPr>
        <w:t>三是</w:t>
      </w:r>
      <w:r>
        <w:rPr>
          <w:rFonts w:ascii="仿宋_GB2312" w:cs="仿宋_GB2312"/>
          <w:sz w:val="32"/>
          <w:szCs w:val="32"/>
        </w:rPr>
        <w:t>建立内部监督机制，将执法行为列入督查范围，及时监督纪律执行情况</w:t>
      </w:r>
      <w:r>
        <w:rPr>
          <w:rFonts w:hint="eastAsia" w:ascii="仿宋_GB2312" w:cs="仿宋_GB2312"/>
          <w:sz w:val="32"/>
          <w:szCs w:val="32"/>
        </w:rPr>
        <w:t>。</w:t>
      </w:r>
      <w:r>
        <w:rPr>
          <w:rFonts w:ascii="仿宋_GB2312" w:cs="仿宋_GB2312"/>
          <w:b/>
          <w:sz w:val="32"/>
          <w:szCs w:val="32"/>
        </w:rPr>
        <w:t>四是</w:t>
      </w:r>
      <w:r>
        <w:rPr>
          <w:rFonts w:ascii="仿宋_GB2312" w:cs="仿宋_GB2312"/>
          <w:sz w:val="32"/>
          <w:szCs w:val="32"/>
        </w:rPr>
        <w:t>向社会公开监督电话</w:t>
      </w:r>
      <w:r>
        <w:rPr>
          <w:rFonts w:hint="eastAsia" w:ascii="仿宋_GB2312" w:cs="仿宋_GB2312"/>
          <w:sz w:val="32"/>
          <w:szCs w:val="32"/>
        </w:rPr>
        <w:t>、</w:t>
      </w:r>
      <w:r>
        <w:rPr>
          <w:rFonts w:ascii="仿宋_GB2312" w:cs="仿宋_GB2312"/>
          <w:sz w:val="32"/>
          <w:szCs w:val="32"/>
        </w:rPr>
        <w:t>行政处罚程序、设立渔民意见薄</w:t>
      </w:r>
      <w:r>
        <w:rPr>
          <w:rFonts w:hint="eastAsia" w:ascii="仿宋_GB2312" w:cs="仿宋_GB2312"/>
          <w:sz w:val="32"/>
          <w:szCs w:val="32"/>
        </w:rPr>
        <w:t>等</w:t>
      </w:r>
      <w:r>
        <w:rPr>
          <w:rFonts w:ascii="仿宋_GB2312" w:cs="仿宋_GB2312"/>
          <w:sz w:val="32"/>
          <w:szCs w:val="32"/>
        </w:rPr>
        <w:t>，接受社会监督。</w:t>
      </w:r>
    </w:p>
    <w:p>
      <w:pPr>
        <w:adjustRightInd w:val="0"/>
        <w:ind w:firstLine="640" w:firstLineChars="200"/>
        <w:contextualSpacing/>
        <w:rPr>
          <w:rFonts w:ascii="仿宋_GB2312" w:cs="仿宋_GB2312"/>
          <w:sz w:val="32"/>
          <w:szCs w:val="32"/>
        </w:rPr>
      </w:pPr>
      <w:r>
        <w:rPr>
          <w:rFonts w:hint="eastAsia" w:ascii="仿宋_GB2312" w:cs="仿宋_GB2312"/>
          <w:sz w:val="32"/>
          <w:szCs w:val="32"/>
        </w:rPr>
        <w:t>建立执法人员培训制度。组织法律和渔业港航监督等知识培训，推行优秀执法文书评选制度，提高办案质量。2014年以来，共有18份执法文书在上海市农业行政处罚案卷评比中获奖。</w:t>
      </w:r>
    </w:p>
    <w:p>
      <w:pPr>
        <w:adjustRightInd w:val="0"/>
        <w:ind w:firstLine="640" w:firstLineChars="200"/>
        <w:contextualSpacing/>
        <w:rPr>
          <w:rFonts w:ascii="仿宋_GB2312" w:cs="仿宋_GB2312"/>
          <w:sz w:val="32"/>
          <w:szCs w:val="32"/>
        </w:rPr>
      </w:pPr>
      <w:r>
        <w:rPr>
          <w:rFonts w:hint="eastAsia" w:ascii="仿宋_GB2312"/>
          <w:sz w:val="32"/>
          <w:szCs w:val="32"/>
        </w:rPr>
        <w:t>近年来，无任何船舶、船员安全责任事故，无冲撞渔船、破坏渔船设施、侮辱管理相对人等不文明行为，无管理相对人的举报投诉等现象发生。</w:t>
      </w:r>
    </w:p>
    <w:p>
      <w:pPr>
        <w:adjustRightInd w:val="0"/>
        <w:ind w:firstLine="640" w:firstLineChars="200"/>
        <w:contextualSpacing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三、加强船队建设，打造执法铁军</w:t>
      </w:r>
    </w:p>
    <w:p>
      <w:pPr>
        <w:adjustRightInd w:val="0"/>
        <w:ind w:firstLine="640" w:firstLineChars="200"/>
        <w:contextualSpacing/>
        <w:rPr>
          <w:rFonts w:ascii="仿宋_GB2312"/>
          <w:sz w:val="32"/>
          <w:szCs w:val="32"/>
        </w:rPr>
      </w:pPr>
      <w:r>
        <w:rPr>
          <w:rFonts w:hint="eastAsia" w:ascii="仿宋_GB2312" w:cs="仿宋_GB2312"/>
          <w:sz w:val="32"/>
          <w:szCs w:val="32"/>
        </w:rPr>
        <w:t>以准军事化要求加强船队规范化管理。</w:t>
      </w:r>
      <w:r>
        <w:rPr>
          <w:rFonts w:hint="eastAsia" w:ascii="仿宋_GB2312" w:hAnsi="微软雅黑"/>
          <w:b/>
          <w:color w:val="333333"/>
          <w:sz w:val="32"/>
          <w:szCs w:val="32"/>
        </w:rPr>
        <w:t>一是</w:t>
      </w:r>
      <w:r>
        <w:rPr>
          <w:rFonts w:hint="eastAsia" w:ascii="仿宋_GB2312"/>
          <w:sz w:val="32"/>
          <w:szCs w:val="32"/>
        </w:rPr>
        <w:t>将支部建到船队。着重渔政船船队思想政治学习，提升船队船员政治素养。</w:t>
      </w:r>
      <w:r>
        <w:rPr>
          <w:rFonts w:hint="eastAsia" w:ascii="仿宋_GB2312"/>
          <w:b/>
          <w:sz w:val="32"/>
          <w:szCs w:val="32"/>
        </w:rPr>
        <w:t>二是</w:t>
      </w:r>
      <w:r>
        <w:rPr>
          <w:rFonts w:hint="eastAsia" w:ascii="仿宋_GB2312"/>
          <w:sz w:val="32"/>
          <w:szCs w:val="32"/>
        </w:rPr>
        <w:t>建立健全船队管理各项规章制度。对船员的业务素质等25项指标进行考核，对值班备勤、岗位工作、精神面貌等方面进行规范。中国渔政31006船分别获得“2015年度全国渔业文明执法窗口”和“上海市2017年度青年安全生产示范岗”称号。</w:t>
      </w:r>
      <w:r>
        <w:rPr>
          <w:rFonts w:hint="eastAsia" w:ascii="仿宋_GB2312"/>
          <w:b/>
          <w:sz w:val="32"/>
          <w:szCs w:val="32"/>
        </w:rPr>
        <w:t>三是</w:t>
      </w:r>
      <w:r>
        <w:rPr>
          <w:rFonts w:hint="eastAsia" w:ascii="仿宋_GB2312"/>
          <w:sz w:val="32"/>
          <w:szCs w:val="32"/>
        </w:rPr>
        <w:t>加强船队应急演练工作。每季度组织船员进行消防、救生、拖带等科目演练，提高了船队应急处置能力。</w:t>
      </w:r>
    </w:p>
    <w:p>
      <w:pPr>
        <w:adjustRightInd w:val="0"/>
        <w:ind w:firstLine="640" w:firstLineChars="200"/>
        <w:contextualSpacing/>
        <w:rPr>
          <w:rFonts w:ascii="仿宋_GB2312" w:cs="仿宋_GB2312"/>
          <w:sz w:val="32"/>
          <w:szCs w:val="32"/>
        </w:rPr>
      </w:pPr>
      <w:r>
        <w:rPr>
          <w:rFonts w:hint="eastAsia" w:ascii="仿宋_GB2312"/>
          <w:sz w:val="32"/>
          <w:szCs w:val="32"/>
        </w:rPr>
        <w:t>近年来，中国渔政31005、31006共计航时</w:t>
      </w:r>
      <w:r>
        <w:rPr>
          <w:rFonts w:hint="eastAsia" w:ascii="仿宋_GB2312"/>
          <w:color w:val="000000"/>
          <w:sz w:val="32"/>
          <w:szCs w:val="32"/>
        </w:rPr>
        <w:t>7740</w:t>
      </w:r>
      <w:r>
        <w:rPr>
          <w:rFonts w:hint="eastAsia" w:ascii="仿宋_GB2312"/>
          <w:sz w:val="32"/>
          <w:szCs w:val="32"/>
        </w:rPr>
        <w:t>小时，航程</w:t>
      </w:r>
      <w:r>
        <w:rPr>
          <w:rFonts w:hint="eastAsia" w:ascii="仿宋_GB2312"/>
          <w:color w:val="000000"/>
          <w:sz w:val="32"/>
          <w:szCs w:val="32"/>
        </w:rPr>
        <w:t>54180</w:t>
      </w:r>
      <w:r>
        <w:rPr>
          <w:rFonts w:hint="eastAsia" w:ascii="仿宋_GB2312"/>
          <w:sz w:val="32"/>
          <w:szCs w:val="32"/>
        </w:rPr>
        <w:t>海里，充分体现了“特别能吃苦、特别能战斗、特别能奉献，特别有作为”的渔政精神。</w:t>
      </w:r>
    </w:p>
    <w:p>
      <w:pPr>
        <w:adjustRightInd w:val="0"/>
        <w:ind w:firstLine="640" w:firstLineChars="200"/>
        <w:contextualSpacing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四、完善执法装备，提升执法能力和水平</w:t>
      </w:r>
    </w:p>
    <w:p>
      <w:pPr>
        <w:adjustRightInd w:val="0"/>
        <w:ind w:firstLine="640" w:firstLineChars="200"/>
        <w:contextualSpacing/>
        <w:rPr>
          <w:rFonts w:ascii="仿宋_GB2312" w:cs="仿宋_GB2312"/>
          <w:sz w:val="32"/>
          <w:szCs w:val="32"/>
        </w:rPr>
      </w:pPr>
      <w:r>
        <w:rPr>
          <w:rFonts w:hint="eastAsia" w:ascii="仿宋_GB2312" w:cs="仿宋_GB2312"/>
          <w:sz w:val="32"/>
          <w:szCs w:val="32"/>
        </w:rPr>
        <w:t>注重运用新技术、新手段解决执法过程中遇到的新情况、新问题。</w:t>
      </w:r>
      <w:r>
        <w:rPr>
          <w:rFonts w:hint="eastAsia" w:ascii="仿宋_GB2312" w:cs="仿宋_GB2312"/>
          <w:b/>
          <w:sz w:val="32"/>
          <w:szCs w:val="32"/>
        </w:rPr>
        <w:t>一是</w:t>
      </w:r>
      <w:r>
        <w:rPr>
          <w:rFonts w:hint="eastAsia" w:ascii="仿宋_GB2312" w:cs="仿宋_GB2312"/>
          <w:sz w:val="32"/>
          <w:szCs w:val="32"/>
        </w:rPr>
        <w:t>全程使用执法记录仪，解决执法过程中现场检查勘验、询问笔录等环节的公开透明和阳光操作。</w:t>
      </w:r>
      <w:r>
        <w:rPr>
          <w:rFonts w:hint="eastAsia" w:ascii="仿宋_GB2312" w:cs="仿宋_GB2312"/>
          <w:b/>
          <w:sz w:val="32"/>
          <w:szCs w:val="32"/>
        </w:rPr>
        <w:t>二是</w:t>
      </w:r>
      <w:r>
        <w:rPr>
          <w:rFonts w:hint="eastAsia" w:ascii="仿宋_GB2312" w:cs="仿宋_GB2312"/>
          <w:sz w:val="32"/>
          <w:szCs w:val="32"/>
        </w:rPr>
        <w:t>办案应用渔港渔船监管系统-综合业务管理平台和渔业行政执法单机版系统，提高了办案的效率和质量。</w:t>
      </w:r>
      <w:r>
        <w:rPr>
          <w:rFonts w:hint="eastAsia" w:ascii="仿宋_GB2312" w:cs="仿宋_GB2312"/>
          <w:b/>
          <w:sz w:val="32"/>
          <w:szCs w:val="32"/>
        </w:rPr>
        <w:t>三是</w:t>
      </w:r>
      <w:r>
        <w:rPr>
          <w:rFonts w:hint="eastAsia" w:ascii="仿宋_GB2312" w:cs="仿宋_GB2312"/>
          <w:sz w:val="32"/>
          <w:szCs w:val="32"/>
        </w:rPr>
        <w:t>利用渔港渔船安全救助信息服务系统，实时监控渔港和渔船集中停泊点渔船进出以及海上渔船的动态情况，提高执法效率。</w:t>
      </w:r>
    </w:p>
    <w:p>
      <w:pPr>
        <w:adjustRightInd w:val="0"/>
        <w:ind w:firstLine="640" w:firstLineChars="200"/>
        <w:contextualSpacing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五、加强法制宣传，提升渔民守法意识</w:t>
      </w:r>
    </w:p>
    <w:p>
      <w:pPr>
        <w:adjustRightInd w:val="0"/>
        <w:ind w:firstLine="640" w:firstLineChars="200"/>
        <w:contextualSpacing/>
        <w:rPr>
          <w:rFonts w:ascii="仿宋_GB2312" w:cs="仿宋_GB2312"/>
          <w:sz w:val="32"/>
          <w:szCs w:val="32"/>
        </w:rPr>
      </w:pPr>
      <w:r>
        <w:rPr>
          <w:rFonts w:hint="eastAsia" w:ascii="仿宋_GB2312"/>
          <w:sz w:val="32"/>
          <w:szCs w:val="32"/>
        </w:rPr>
        <w:t>建立渔业安全长效管理机制，</w:t>
      </w:r>
      <w:r>
        <w:rPr>
          <w:rFonts w:ascii="仿宋_GB2312"/>
          <w:sz w:val="32"/>
          <w:szCs w:val="32"/>
        </w:rPr>
        <w:t>充分借助各种宣传平台和载体，广泛宣传</w:t>
      </w:r>
      <w:r>
        <w:rPr>
          <w:rFonts w:hint="eastAsia" w:ascii="仿宋_GB2312"/>
          <w:sz w:val="32"/>
          <w:szCs w:val="32"/>
        </w:rPr>
        <w:t>渔业安全</w:t>
      </w:r>
      <w:r>
        <w:rPr>
          <w:rFonts w:ascii="仿宋_GB2312"/>
          <w:sz w:val="32"/>
          <w:szCs w:val="32"/>
        </w:rPr>
        <w:t>执法工作</w:t>
      </w:r>
      <w:r>
        <w:rPr>
          <w:rFonts w:hint="eastAsia" w:ascii="仿宋_GB2312"/>
          <w:sz w:val="32"/>
          <w:szCs w:val="32"/>
        </w:rPr>
        <w:t>。</w:t>
      </w:r>
      <w:r>
        <w:rPr>
          <w:rFonts w:hint="eastAsia" w:ascii="仿宋_GB2312"/>
          <w:b/>
          <w:sz w:val="32"/>
          <w:szCs w:val="32"/>
        </w:rPr>
        <w:t>一</w:t>
      </w:r>
      <w:r>
        <w:rPr>
          <w:rFonts w:ascii="仿宋_GB2312"/>
          <w:b/>
          <w:sz w:val="32"/>
          <w:szCs w:val="32"/>
        </w:rPr>
        <w:t>是</w:t>
      </w:r>
      <w:r>
        <w:rPr>
          <w:rFonts w:hint="eastAsia" w:ascii="仿宋_GB2312"/>
          <w:sz w:val="32"/>
          <w:szCs w:val="32"/>
        </w:rPr>
        <w:t>利用“亮剑”、“利剑”等系列执法行动和安全宣传月活动，</w:t>
      </w:r>
      <w:r>
        <w:rPr>
          <w:rFonts w:ascii="仿宋_GB2312"/>
          <w:sz w:val="32"/>
          <w:szCs w:val="32"/>
        </w:rPr>
        <w:t>组织</w:t>
      </w:r>
      <w:r>
        <w:rPr>
          <w:rFonts w:hint="eastAsia" w:ascii="仿宋_GB2312"/>
          <w:sz w:val="32"/>
          <w:szCs w:val="32"/>
        </w:rPr>
        <w:t>执法</w:t>
      </w:r>
      <w:r>
        <w:rPr>
          <w:rFonts w:ascii="仿宋_GB2312"/>
          <w:sz w:val="32"/>
          <w:szCs w:val="32"/>
        </w:rPr>
        <w:t>人员深入</w:t>
      </w:r>
      <w:r>
        <w:rPr>
          <w:rFonts w:hint="eastAsia" w:ascii="仿宋_GB2312"/>
          <w:sz w:val="32"/>
          <w:szCs w:val="32"/>
        </w:rPr>
        <w:t>渔村</w:t>
      </w:r>
      <w:r>
        <w:rPr>
          <w:rFonts w:ascii="仿宋_GB2312"/>
          <w:sz w:val="32"/>
          <w:szCs w:val="32"/>
        </w:rPr>
        <w:t>、</w:t>
      </w:r>
      <w:r>
        <w:rPr>
          <w:rFonts w:hint="eastAsia" w:ascii="仿宋_GB2312"/>
          <w:sz w:val="32"/>
          <w:szCs w:val="32"/>
        </w:rPr>
        <w:t>渔港、渔船</w:t>
      </w:r>
      <w:r>
        <w:rPr>
          <w:rFonts w:ascii="仿宋_GB2312"/>
          <w:sz w:val="32"/>
          <w:szCs w:val="32"/>
        </w:rPr>
        <w:t>进行宣传，努力营造“</w:t>
      </w:r>
      <w:r>
        <w:rPr>
          <w:rFonts w:hint="eastAsia" w:ascii="仿宋_GB2312"/>
          <w:sz w:val="32"/>
          <w:szCs w:val="32"/>
        </w:rPr>
        <w:t>生命至上</w:t>
      </w:r>
      <w:r>
        <w:rPr>
          <w:rFonts w:ascii="仿宋_GB2312"/>
          <w:sz w:val="32"/>
          <w:szCs w:val="32"/>
        </w:rPr>
        <w:t>、</w:t>
      </w:r>
      <w:r>
        <w:rPr>
          <w:rFonts w:hint="eastAsia" w:ascii="仿宋_GB2312"/>
          <w:sz w:val="32"/>
          <w:szCs w:val="32"/>
        </w:rPr>
        <w:t>安全生产</w:t>
      </w:r>
      <w:r>
        <w:rPr>
          <w:rFonts w:ascii="仿宋_GB2312"/>
          <w:sz w:val="32"/>
          <w:szCs w:val="32"/>
        </w:rPr>
        <w:t>”的良好氛围</w:t>
      </w:r>
      <w:r>
        <w:rPr>
          <w:rFonts w:hint="eastAsia" w:ascii="仿宋_GB2312"/>
          <w:sz w:val="32"/>
          <w:szCs w:val="32"/>
        </w:rPr>
        <w:t>。</w:t>
      </w:r>
      <w:r>
        <w:rPr>
          <w:rFonts w:ascii="仿宋_GB2312"/>
          <w:b/>
          <w:sz w:val="32"/>
          <w:szCs w:val="32"/>
        </w:rPr>
        <w:t>二是</w:t>
      </w:r>
      <w:r>
        <w:rPr>
          <w:rFonts w:hint="eastAsia" w:ascii="仿宋_GB2312"/>
          <w:sz w:val="32"/>
          <w:szCs w:val="32"/>
        </w:rPr>
        <w:t>将渔船的违法行为</w:t>
      </w:r>
      <w:r>
        <w:rPr>
          <w:rFonts w:ascii="仿宋_GB2312"/>
          <w:sz w:val="32"/>
          <w:szCs w:val="32"/>
        </w:rPr>
        <w:t>作为重点管理目标，通过开展专项整治和</w:t>
      </w:r>
      <w:r>
        <w:rPr>
          <w:rFonts w:hint="eastAsia" w:ascii="仿宋_GB2312"/>
          <w:sz w:val="32"/>
          <w:szCs w:val="32"/>
        </w:rPr>
        <w:t>“闭环管理”</w:t>
      </w:r>
      <w:r>
        <w:rPr>
          <w:rFonts w:ascii="仿宋_GB2312"/>
          <w:sz w:val="32"/>
          <w:szCs w:val="32"/>
        </w:rPr>
        <w:t>机制，</w:t>
      </w:r>
      <w:r>
        <w:rPr>
          <w:rFonts w:hint="eastAsia" w:ascii="仿宋_GB2312"/>
          <w:sz w:val="32"/>
          <w:szCs w:val="32"/>
        </w:rPr>
        <w:t>有效遏制违法行为。</w:t>
      </w:r>
      <w:r>
        <w:rPr>
          <w:rFonts w:hint="eastAsia" w:ascii="仿宋_GB2312"/>
          <w:b/>
          <w:sz w:val="32"/>
          <w:szCs w:val="32"/>
        </w:rPr>
        <w:t>三</w:t>
      </w:r>
      <w:r>
        <w:rPr>
          <w:rFonts w:ascii="仿宋_GB2312"/>
          <w:b/>
          <w:sz w:val="32"/>
          <w:szCs w:val="32"/>
        </w:rPr>
        <w:t>是</w:t>
      </w:r>
      <w:r>
        <w:rPr>
          <w:rFonts w:hint="eastAsia" w:ascii="仿宋_GB2312"/>
          <w:sz w:val="32"/>
          <w:szCs w:val="32"/>
        </w:rPr>
        <w:t>开展普法专题讲座、船东船长培训和“安全生产万里行”活动，向渔民群众普及渔业安全生产知识。</w:t>
      </w:r>
    </w:p>
    <w:p>
      <w:pPr>
        <w:adjustRightInd w:val="0"/>
        <w:ind w:firstLine="640" w:firstLineChars="200"/>
        <w:contextualSpacing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六、加强协调联动，形成执法合力</w:t>
      </w:r>
    </w:p>
    <w:p>
      <w:pPr>
        <w:adjustRightInd w:val="0"/>
        <w:ind w:firstLine="640" w:firstLineChars="200"/>
        <w:contextualSpacing/>
        <w:rPr>
          <w:rFonts w:ascii="仿宋_GB2312"/>
          <w:sz w:val="32"/>
          <w:szCs w:val="32"/>
        </w:rPr>
      </w:pPr>
      <w:r>
        <w:rPr>
          <w:rFonts w:hint="eastAsia" w:ascii="仿宋_GB2312" w:cs="仿宋_GB2312"/>
          <w:sz w:val="32"/>
          <w:szCs w:val="32"/>
        </w:rPr>
        <w:t>着力突出“三个联合”，构建“三个合力”。</w:t>
      </w:r>
      <w:r>
        <w:rPr>
          <w:rFonts w:hint="eastAsia" w:ascii="仿宋_GB2312" w:cs="仿宋_GB2312"/>
          <w:b/>
          <w:sz w:val="32"/>
          <w:szCs w:val="32"/>
        </w:rPr>
        <w:t>一是</w:t>
      </w:r>
      <w:r>
        <w:rPr>
          <w:rFonts w:hint="eastAsia" w:ascii="仿宋_GB2312" w:cs="仿宋_GB2312"/>
          <w:sz w:val="32"/>
          <w:szCs w:val="32"/>
        </w:rPr>
        <w:t>部门联合，对渔港、渔船集中停泊点进行“地毯式”安全执法检查，构建内部合力。</w:t>
      </w:r>
      <w:r>
        <w:rPr>
          <w:rFonts w:hint="eastAsia" w:ascii="仿宋_GB2312" w:cs="仿宋_GB2312"/>
          <w:b/>
          <w:sz w:val="32"/>
          <w:szCs w:val="32"/>
        </w:rPr>
        <w:t>二是</w:t>
      </w:r>
      <w:r>
        <w:rPr>
          <w:rFonts w:hint="eastAsia" w:ascii="仿宋_GB2312" w:cs="仿宋_GB2312"/>
          <w:sz w:val="32"/>
          <w:szCs w:val="32"/>
        </w:rPr>
        <w:t>单位联合，与海警、公安、港航等联合执法，探索建立联合办案的工作机制，形成合力。</w:t>
      </w:r>
      <w:r>
        <w:rPr>
          <w:rFonts w:hint="eastAsia" w:ascii="仿宋_GB2312" w:cs="仿宋_GB2312"/>
          <w:b/>
          <w:sz w:val="32"/>
          <w:szCs w:val="32"/>
        </w:rPr>
        <w:t>三是</w:t>
      </w:r>
      <w:r>
        <w:rPr>
          <w:rFonts w:hint="eastAsia" w:ascii="仿宋_GB2312" w:cs="仿宋_GB2312"/>
          <w:sz w:val="32"/>
          <w:szCs w:val="32"/>
        </w:rPr>
        <w:t>省际联合，与江苏、浙江等开展执法协作，有力打击了交界水域、共管水域涉渔违法行为，构建区域合力。</w:t>
      </w:r>
    </w:p>
    <w:p>
      <w:pPr>
        <w:adjustRightInd w:val="0"/>
        <w:ind w:firstLine="640" w:firstLineChars="200"/>
        <w:contextualSpacing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七、主要工作成效</w:t>
      </w:r>
    </w:p>
    <w:p>
      <w:pPr>
        <w:adjustRightInd w:val="0"/>
        <w:ind w:firstLine="640" w:firstLineChars="200"/>
        <w:contextualSpacing/>
        <w:rPr>
          <w:rFonts w:ascii="仿宋_GB2312"/>
          <w:sz w:val="32"/>
          <w:szCs w:val="32"/>
        </w:rPr>
      </w:pPr>
      <w:r>
        <w:rPr>
          <w:rFonts w:hint="eastAsia" w:ascii="仿宋_GB2312" w:cs="仿宋_GB2312"/>
          <w:sz w:val="32"/>
          <w:szCs w:val="32"/>
        </w:rPr>
        <w:t>2014年以来，以中国渔政亮剑系列专项执法行动、长江鳗苗捕捞联合整治行动、长江禁渔联合执法行动、清理取缔涉渔“三无”船舶联合执法行动等专项行动为抓手，结合本市“利剑”系列渔港监督执法工作，共开展水上执法290航次（其中执行联合执法36次、专项整治21次），陆上执法423次，出动执法人员3234人次。累计登临检查渔船3035艘次，查处各类渔业行政违法案件495件。</w:t>
      </w:r>
      <w:r>
        <w:rPr>
          <w:rFonts w:hint="eastAsia" w:ascii="仿宋_GB2312" w:hAnsi="宋体" w:cs="仿宋_GB2312"/>
          <w:color w:val="000000"/>
          <w:kern w:val="0"/>
          <w:sz w:val="32"/>
          <w:szCs w:val="32"/>
        </w:rPr>
        <w:t>坚决杜绝了“大机小标”等重大违法现象，严厉打击了涉渔“三无”船舶，有效查处了船舶安全设备配备不齐、船员未持证上岗等违法行为</w:t>
      </w:r>
      <w:r>
        <w:rPr>
          <w:rFonts w:hint="eastAsia" w:ascii="仿宋_GB2312"/>
          <w:sz w:val="32"/>
          <w:szCs w:val="32"/>
        </w:rPr>
        <w:t>。</w:t>
      </w:r>
    </w:p>
    <w:p>
      <w:pPr>
        <w:adjustRightInd w:val="0"/>
        <w:ind w:firstLine="640" w:firstLineChars="200"/>
        <w:contextualSpacing/>
        <w:rPr>
          <w:rFonts w:hint="eastAsia"/>
          <w:sz w:val="32"/>
          <w:szCs w:val="32"/>
        </w:rPr>
      </w:pPr>
    </w:p>
    <w:p>
      <w:pPr>
        <w:adjustRightInd w:val="0"/>
        <w:ind w:firstLine="640" w:firstLineChars="200"/>
        <w:contextualSpacing/>
        <w:rPr>
          <w:sz w:val="32"/>
          <w:szCs w:val="32"/>
        </w:rPr>
      </w:pPr>
    </w:p>
    <w:p>
      <w:pPr>
        <w:adjustRightInd w:val="0"/>
        <w:ind w:firstLine="640" w:firstLineChars="200"/>
        <w:contextualSpacing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</w:p>
    <w:p>
      <w:pPr>
        <w:adjustRightInd w:val="0"/>
        <w:ind w:firstLine="640" w:firstLineChars="200"/>
        <w:contextualSpacing/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          </w:t>
      </w:r>
      <w:bookmarkStart w:id="0" w:name="_GoBack"/>
      <w:bookmarkEnd w:id="0"/>
    </w:p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E1EA2"/>
    <w:rsid w:val="00014C92"/>
    <w:rsid w:val="00021C3C"/>
    <w:rsid w:val="000237EB"/>
    <w:rsid w:val="00034E99"/>
    <w:rsid w:val="0004079C"/>
    <w:rsid w:val="00042461"/>
    <w:rsid w:val="000449DD"/>
    <w:rsid w:val="00046135"/>
    <w:rsid w:val="00047291"/>
    <w:rsid w:val="00047352"/>
    <w:rsid w:val="00052459"/>
    <w:rsid w:val="0005756B"/>
    <w:rsid w:val="00067A51"/>
    <w:rsid w:val="00076A47"/>
    <w:rsid w:val="000877BA"/>
    <w:rsid w:val="00091710"/>
    <w:rsid w:val="000919E7"/>
    <w:rsid w:val="000A171A"/>
    <w:rsid w:val="000A1FC3"/>
    <w:rsid w:val="000A562A"/>
    <w:rsid w:val="000B25A2"/>
    <w:rsid w:val="000B4293"/>
    <w:rsid w:val="000B44EE"/>
    <w:rsid w:val="000B4AEE"/>
    <w:rsid w:val="000B59E7"/>
    <w:rsid w:val="000C4F4C"/>
    <w:rsid w:val="000C6EA3"/>
    <w:rsid w:val="000D21F2"/>
    <w:rsid w:val="000E0163"/>
    <w:rsid w:val="000F5658"/>
    <w:rsid w:val="001170E1"/>
    <w:rsid w:val="001211C0"/>
    <w:rsid w:val="0014165C"/>
    <w:rsid w:val="001449ED"/>
    <w:rsid w:val="001502CB"/>
    <w:rsid w:val="0015229D"/>
    <w:rsid w:val="0015387C"/>
    <w:rsid w:val="00153DAF"/>
    <w:rsid w:val="00160C79"/>
    <w:rsid w:val="00162229"/>
    <w:rsid w:val="0016669B"/>
    <w:rsid w:val="00167965"/>
    <w:rsid w:val="00182AF0"/>
    <w:rsid w:val="00183399"/>
    <w:rsid w:val="00187904"/>
    <w:rsid w:val="00190C16"/>
    <w:rsid w:val="00192203"/>
    <w:rsid w:val="00193529"/>
    <w:rsid w:val="00195C18"/>
    <w:rsid w:val="001A1159"/>
    <w:rsid w:val="001A4281"/>
    <w:rsid w:val="001B23F3"/>
    <w:rsid w:val="001C1D1B"/>
    <w:rsid w:val="001C1DBF"/>
    <w:rsid w:val="001D4B42"/>
    <w:rsid w:val="001E1C49"/>
    <w:rsid w:val="001F27C8"/>
    <w:rsid w:val="001F5511"/>
    <w:rsid w:val="001F6FAB"/>
    <w:rsid w:val="00203F37"/>
    <w:rsid w:val="00204D00"/>
    <w:rsid w:val="002053B1"/>
    <w:rsid w:val="002332A3"/>
    <w:rsid w:val="00243CBE"/>
    <w:rsid w:val="00245256"/>
    <w:rsid w:val="002459FD"/>
    <w:rsid w:val="0024614B"/>
    <w:rsid w:val="00247204"/>
    <w:rsid w:val="00250D54"/>
    <w:rsid w:val="00262AFC"/>
    <w:rsid w:val="002639EF"/>
    <w:rsid w:val="002652B3"/>
    <w:rsid w:val="0026540D"/>
    <w:rsid w:val="00266CF4"/>
    <w:rsid w:val="00275287"/>
    <w:rsid w:val="00275465"/>
    <w:rsid w:val="00275F38"/>
    <w:rsid w:val="002812C9"/>
    <w:rsid w:val="002861C3"/>
    <w:rsid w:val="002A28E8"/>
    <w:rsid w:val="002A6DCC"/>
    <w:rsid w:val="002B1289"/>
    <w:rsid w:val="002B134C"/>
    <w:rsid w:val="002C43BA"/>
    <w:rsid w:val="002C5F42"/>
    <w:rsid w:val="002F7D84"/>
    <w:rsid w:val="00307C93"/>
    <w:rsid w:val="0032274B"/>
    <w:rsid w:val="00324E74"/>
    <w:rsid w:val="00327B0B"/>
    <w:rsid w:val="00330820"/>
    <w:rsid w:val="00330966"/>
    <w:rsid w:val="00351E6E"/>
    <w:rsid w:val="003705B8"/>
    <w:rsid w:val="00374737"/>
    <w:rsid w:val="00377DBB"/>
    <w:rsid w:val="00390601"/>
    <w:rsid w:val="0039471D"/>
    <w:rsid w:val="003A2D99"/>
    <w:rsid w:val="003A37A2"/>
    <w:rsid w:val="003A3A74"/>
    <w:rsid w:val="003B15A8"/>
    <w:rsid w:val="003B40E4"/>
    <w:rsid w:val="003B6EF8"/>
    <w:rsid w:val="003C4606"/>
    <w:rsid w:val="003D6B00"/>
    <w:rsid w:val="003E7961"/>
    <w:rsid w:val="003E7BAC"/>
    <w:rsid w:val="003F242E"/>
    <w:rsid w:val="003F2CB0"/>
    <w:rsid w:val="0040424F"/>
    <w:rsid w:val="004043A5"/>
    <w:rsid w:val="0045301F"/>
    <w:rsid w:val="0047089D"/>
    <w:rsid w:val="00475F5D"/>
    <w:rsid w:val="004815AE"/>
    <w:rsid w:val="00481A0F"/>
    <w:rsid w:val="004A2320"/>
    <w:rsid w:val="004A406A"/>
    <w:rsid w:val="004A498A"/>
    <w:rsid w:val="004B3CA5"/>
    <w:rsid w:val="004B4D35"/>
    <w:rsid w:val="004B4DEF"/>
    <w:rsid w:val="004C28AB"/>
    <w:rsid w:val="004C3E99"/>
    <w:rsid w:val="004C45FA"/>
    <w:rsid w:val="004C5091"/>
    <w:rsid w:val="004C66F6"/>
    <w:rsid w:val="004C69EA"/>
    <w:rsid w:val="004C7623"/>
    <w:rsid w:val="004D63BE"/>
    <w:rsid w:val="004E090A"/>
    <w:rsid w:val="004E3A92"/>
    <w:rsid w:val="004E485E"/>
    <w:rsid w:val="004E4BE5"/>
    <w:rsid w:val="004F31CF"/>
    <w:rsid w:val="004F4862"/>
    <w:rsid w:val="004F531F"/>
    <w:rsid w:val="004F5989"/>
    <w:rsid w:val="004F62C1"/>
    <w:rsid w:val="004F7F9D"/>
    <w:rsid w:val="00501B79"/>
    <w:rsid w:val="00507014"/>
    <w:rsid w:val="00511C01"/>
    <w:rsid w:val="00515E1A"/>
    <w:rsid w:val="00523429"/>
    <w:rsid w:val="005346AF"/>
    <w:rsid w:val="0053564F"/>
    <w:rsid w:val="005378B1"/>
    <w:rsid w:val="00542FB3"/>
    <w:rsid w:val="00544BDE"/>
    <w:rsid w:val="00551ACE"/>
    <w:rsid w:val="00554F05"/>
    <w:rsid w:val="00561857"/>
    <w:rsid w:val="005672D4"/>
    <w:rsid w:val="00567E1D"/>
    <w:rsid w:val="00576B4C"/>
    <w:rsid w:val="00577AEC"/>
    <w:rsid w:val="00580439"/>
    <w:rsid w:val="00582BCF"/>
    <w:rsid w:val="00585710"/>
    <w:rsid w:val="00587241"/>
    <w:rsid w:val="005875EA"/>
    <w:rsid w:val="005A2D89"/>
    <w:rsid w:val="005A3FA1"/>
    <w:rsid w:val="005A4EF2"/>
    <w:rsid w:val="005B3EC2"/>
    <w:rsid w:val="005C1128"/>
    <w:rsid w:val="005C5E18"/>
    <w:rsid w:val="005D0763"/>
    <w:rsid w:val="005D1855"/>
    <w:rsid w:val="005D21BB"/>
    <w:rsid w:val="005E46B4"/>
    <w:rsid w:val="005E6351"/>
    <w:rsid w:val="005F0DC1"/>
    <w:rsid w:val="005F502B"/>
    <w:rsid w:val="005F6B88"/>
    <w:rsid w:val="006021FD"/>
    <w:rsid w:val="00604A41"/>
    <w:rsid w:val="00604B96"/>
    <w:rsid w:val="00606048"/>
    <w:rsid w:val="00611D17"/>
    <w:rsid w:val="00612656"/>
    <w:rsid w:val="00617BE1"/>
    <w:rsid w:val="0062728D"/>
    <w:rsid w:val="006275CE"/>
    <w:rsid w:val="00635CBD"/>
    <w:rsid w:val="0063672D"/>
    <w:rsid w:val="006371F0"/>
    <w:rsid w:val="006379D2"/>
    <w:rsid w:val="00661F40"/>
    <w:rsid w:val="00666599"/>
    <w:rsid w:val="0067339A"/>
    <w:rsid w:val="006737F0"/>
    <w:rsid w:val="00676C99"/>
    <w:rsid w:val="00694AF2"/>
    <w:rsid w:val="006A6B20"/>
    <w:rsid w:val="006C393D"/>
    <w:rsid w:val="006D0461"/>
    <w:rsid w:val="006D0DC8"/>
    <w:rsid w:val="006E1EA2"/>
    <w:rsid w:val="006E24ED"/>
    <w:rsid w:val="006E41F2"/>
    <w:rsid w:val="006E7A0E"/>
    <w:rsid w:val="006F10F3"/>
    <w:rsid w:val="006F65E0"/>
    <w:rsid w:val="00701397"/>
    <w:rsid w:val="00704F98"/>
    <w:rsid w:val="00711A9F"/>
    <w:rsid w:val="0072256F"/>
    <w:rsid w:val="00724D8A"/>
    <w:rsid w:val="00727027"/>
    <w:rsid w:val="007408E4"/>
    <w:rsid w:val="00744274"/>
    <w:rsid w:val="00744B77"/>
    <w:rsid w:val="00747F10"/>
    <w:rsid w:val="00752D07"/>
    <w:rsid w:val="00767C27"/>
    <w:rsid w:val="00772D3B"/>
    <w:rsid w:val="007764B1"/>
    <w:rsid w:val="00777F45"/>
    <w:rsid w:val="0078172C"/>
    <w:rsid w:val="00783E4E"/>
    <w:rsid w:val="007852E8"/>
    <w:rsid w:val="007A17CF"/>
    <w:rsid w:val="007A5A5C"/>
    <w:rsid w:val="007A5F7E"/>
    <w:rsid w:val="007B37B4"/>
    <w:rsid w:val="007B5E3E"/>
    <w:rsid w:val="007B7D63"/>
    <w:rsid w:val="007C23E0"/>
    <w:rsid w:val="007C340C"/>
    <w:rsid w:val="007C6216"/>
    <w:rsid w:val="007F1C48"/>
    <w:rsid w:val="007F1CDF"/>
    <w:rsid w:val="008019A3"/>
    <w:rsid w:val="00807E61"/>
    <w:rsid w:val="00812EC8"/>
    <w:rsid w:val="008136C9"/>
    <w:rsid w:val="00816833"/>
    <w:rsid w:val="0082543D"/>
    <w:rsid w:val="00852DFD"/>
    <w:rsid w:val="00864B36"/>
    <w:rsid w:val="00864F84"/>
    <w:rsid w:val="008708B2"/>
    <w:rsid w:val="00872C8B"/>
    <w:rsid w:val="008731E5"/>
    <w:rsid w:val="008757D2"/>
    <w:rsid w:val="00884985"/>
    <w:rsid w:val="00885DDA"/>
    <w:rsid w:val="00886EAB"/>
    <w:rsid w:val="0089211B"/>
    <w:rsid w:val="008924B0"/>
    <w:rsid w:val="00893C68"/>
    <w:rsid w:val="008969CA"/>
    <w:rsid w:val="008A3180"/>
    <w:rsid w:val="008B0515"/>
    <w:rsid w:val="008B0E77"/>
    <w:rsid w:val="008C1562"/>
    <w:rsid w:val="008C2B56"/>
    <w:rsid w:val="008C2F92"/>
    <w:rsid w:val="008D385A"/>
    <w:rsid w:val="008E21BD"/>
    <w:rsid w:val="008E3E27"/>
    <w:rsid w:val="008F74A4"/>
    <w:rsid w:val="009026D3"/>
    <w:rsid w:val="009101CC"/>
    <w:rsid w:val="00913421"/>
    <w:rsid w:val="009155D3"/>
    <w:rsid w:val="00926C69"/>
    <w:rsid w:val="009427B5"/>
    <w:rsid w:val="00947D4D"/>
    <w:rsid w:val="00962B88"/>
    <w:rsid w:val="009775E3"/>
    <w:rsid w:val="00981725"/>
    <w:rsid w:val="009845F1"/>
    <w:rsid w:val="009872EA"/>
    <w:rsid w:val="0099268F"/>
    <w:rsid w:val="00993FB4"/>
    <w:rsid w:val="0099647C"/>
    <w:rsid w:val="00997CD1"/>
    <w:rsid w:val="009A2462"/>
    <w:rsid w:val="009A2CB1"/>
    <w:rsid w:val="009A3606"/>
    <w:rsid w:val="009A55EB"/>
    <w:rsid w:val="009A7E16"/>
    <w:rsid w:val="009B6AD9"/>
    <w:rsid w:val="009C0A8B"/>
    <w:rsid w:val="009C78B7"/>
    <w:rsid w:val="009D0F89"/>
    <w:rsid w:val="009D2BF5"/>
    <w:rsid w:val="009D3E71"/>
    <w:rsid w:val="009D405D"/>
    <w:rsid w:val="009D7B77"/>
    <w:rsid w:val="009D7C90"/>
    <w:rsid w:val="009E7DF5"/>
    <w:rsid w:val="009F3F7C"/>
    <w:rsid w:val="00A02DB4"/>
    <w:rsid w:val="00A16823"/>
    <w:rsid w:val="00A2420F"/>
    <w:rsid w:val="00A30AAE"/>
    <w:rsid w:val="00A347B4"/>
    <w:rsid w:val="00A40970"/>
    <w:rsid w:val="00A619B5"/>
    <w:rsid w:val="00A70E5C"/>
    <w:rsid w:val="00A761D7"/>
    <w:rsid w:val="00A87F8C"/>
    <w:rsid w:val="00AA0088"/>
    <w:rsid w:val="00AA247F"/>
    <w:rsid w:val="00AB1FD6"/>
    <w:rsid w:val="00AB5783"/>
    <w:rsid w:val="00AC7643"/>
    <w:rsid w:val="00AD2DEB"/>
    <w:rsid w:val="00AD3622"/>
    <w:rsid w:val="00AD757C"/>
    <w:rsid w:val="00AE2086"/>
    <w:rsid w:val="00AE7CCE"/>
    <w:rsid w:val="00AF23E2"/>
    <w:rsid w:val="00AF2677"/>
    <w:rsid w:val="00AF40C3"/>
    <w:rsid w:val="00AF5D28"/>
    <w:rsid w:val="00AF7F3B"/>
    <w:rsid w:val="00B01435"/>
    <w:rsid w:val="00B029A9"/>
    <w:rsid w:val="00B05D46"/>
    <w:rsid w:val="00B179AF"/>
    <w:rsid w:val="00B225C9"/>
    <w:rsid w:val="00B22CCD"/>
    <w:rsid w:val="00B2763B"/>
    <w:rsid w:val="00B3786C"/>
    <w:rsid w:val="00B450D7"/>
    <w:rsid w:val="00B45D28"/>
    <w:rsid w:val="00B52A5C"/>
    <w:rsid w:val="00B5540A"/>
    <w:rsid w:val="00B55B33"/>
    <w:rsid w:val="00B568BC"/>
    <w:rsid w:val="00B579DF"/>
    <w:rsid w:val="00B62D48"/>
    <w:rsid w:val="00B62E50"/>
    <w:rsid w:val="00B700EA"/>
    <w:rsid w:val="00B73244"/>
    <w:rsid w:val="00B74C66"/>
    <w:rsid w:val="00B857F2"/>
    <w:rsid w:val="00B859A3"/>
    <w:rsid w:val="00B93235"/>
    <w:rsid w:val="00BA2D5D"/>
    <w:rsid w:val="00BA67B1"/>
    <w:rsid w:val="00BB05F5"/>
    <w:rsid w:val="00BB7595"/>
    <w:rsid w:val="00BC2E0D"/>
    <w:rsid w:val="00BD3781"/>
    <w:rsid w:val="00BE6417"/>
    <w:rsid w:val="00C0421A"/>
    <w:rsid w:val="00C060D4"/>
    <w:rsid w:val="00C07751"/>
    <w:rsid w:val="00C101D5"/>
    <w:rsid w:val="00C113EA"/>
    <w:rsid w:val="00C114EE"/>
    <w:rsid w:val="00C119DC"/>
    <w:rsid w:val="00C2287D"/>
    <w:rsid w:val="00C24CE3"/>
    <w:rsid w:val="00C42017"/>
    <w:rsid w:val="00C42555"/>
    <w:rsid w:val="00C42DE6"/>
    <w:rsid w:val="00C61FA5"/>
    <w:rsid w:val="00C63371"/>
    <w:rsid w:val="00C63EEB"/>
    <w:rsid w:val="00C651B0"/>
    <w:rsid w:val="00C81DE3"/>
    <w:rsid w:val="00C95517"/>
    <w:rsid w:val="00CA2544"/>
    <w:rsid w:val="00CA4EBB"/>
    <w:rsid w:val="00CB6BBD"/>
    <w:rsid w:val="00CD2018"/>
    <w:rsid w:val="00CD4942"/>
    <w:rsid w:val="00CE323D"/>
    <w:rsid w:val="00CF2CC8"/>
    <w:rsid w:val="00D01E5C"/>
    <w:rsid w:val="00D079FA"/>
    <w:rsid w:val="00D22A34"/>
    <w:rsid w:val="00D3418A"/>
    <w:rsid w:val="00D43148"/>
    <w:rsid w:val="00D53FF1"/>
    <w:rsid w:val="00D607F2"/>
    <w:rsid w:val="00D6314D"/>
    <w:rsid w:val="00D64DEA"/>
    <w:rsid w:val="00D667E5"/>
    <w:rsid w:val="00D72D32"/>
    <w:rsid w:val="00D7560D"/>
    <w:rsid w:val="00D7572A"/>
    <w:rsid w:val="00D7751E"/>
    <w:rsid w:val="00D82658"/>
    <w:rsid w:val="00D933AF"/>
    <w:rsid w:val="00DA0B42"/>
    <w:rsid w:val="00DA45B3"/>
    <w:rsid w:val="00DB145F"/>
    <w:rsid w:val="00DB19B8"/>
    <w:rsid w:val="00DB2C74"/>
    <w:rsid w:val="00DB3D7A"/>
    <w:rsid w:val="00DB62E6"/>
    <w:rsid w:val="00DC3A99"/>
    <w:rsid w:val="00DC534F"/>
    <w:rsid w:val="00DE3F94"/>
    <w:rsid w:val="00DE418A"/>
    <w:rsid w:val="00DF2B04"/>
    <w:rsid w:val="00DF5739"/>
    <w:rsid w:val="00DF63A9"/>
    <w:rsid w:val="00E01A2F"/>
    <w:rsid w:val="00E05AC7"/>
    <w:rsid w:val="00E11052"/>
    <w:rsid w:val="00E16BBA"/>
    <w:rsid w:val="00E27C44"/>
    <w:rsid w:val="00E346F0"/>
    <w:rsid w:val="00E357B9"/>
    <w:rsid w:val="00E406FD"/>
    <w:rsid w:val="00E438AE"/>
    <w:rsid w:val="00E54CC4"/>
    <w:rsid w:val="00E55F3B"/>
    <w:rsid w:val="00E6303F"/>
    <w:rsid w:val="00E642C5"/>
    <w:rsid w:val="00E64786"/>
    <w:rsid w:val="00E6744D"/>
    <w:rsid w:val="00E71474"/>
    <w:rsid w:val="00E71A20"/>
    <w:rsid w:val="00E76819"/>
    <w:rsid w:val="00E823D4"/>
    <w:rsid w:val="00EA4411"/>
    <w:rsid w:val="00EC4143"/>
    <w:rsid w:val="00ED0BAA"/>
    <w:rsid w:val="00ED53C4"/>
    <w:rsid w:val="00ED6232"/>
    <w:rsid w:val="00ED7911"/>
    <w:rsid w:val="00EE11D5"/>
    <w:rsid w:val="00EE2553"/>
    <w:rsid w:val="00EF05D0"/>
    <w:rsid w:val="00EF756A"/>
    <w:rsid w:val="00F031AE"/>
    <w:rsid w:val="00F04CCD"/>
    <w:rsid w:val="00F06D8E"/>
    <w:rsid w:val="00F07AAC"/>
    <w:rsid w:val="00F10D55"/>
    <w:rsid w:val="00F1620D"/>
    <w:rsid w:val="00F233CE"/>
    <w:rsid w:val="00F2452A"/>
    <w:rsid w:val="00F25CCE"/>
    <w:rsid w:val="00F328FB"/>
    <w:rsid w:val="00F400D5"/>
    <w:rsid w:val="00F4560F"/>
    <w:rsid w:val="00F45A3E"/>
    <w:rsid w:val="00F704EB"/>
    <w:rsid w:val="00F81569"/>
    <w:rsid w:val="00F82896"/>
    <w:rsid w:val="00F8322B"/>
    <w:rsid w:val="00F94DF6"/>
    <w:rsid w:val="00FB07F3"/>
    <w:rsid w:val="00FB2486"/>
    <w:rsid w:val="00FB55A5"/>
    <w:rsid w:val="00FB6653"/>
    <w:rsid w:val="00FC10F3"/>
    <w:rsid w:val="00FD1468"/>
    <w:rsid w:val="00FD4997"/>
    <w:rsid w:val="00FE1370"/>
    <w:rsid w:val="00FE1B97"/>
    <w:rsid w:val="00FE3E62"/>
    <w:rsid w:val="00FE4B2E"/>
    <w:rsid w:val="00FF6F1B"/>
    <w:rsid w:val="00FF7CC7"/>
    <w:rsid w:val="6A1C7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28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Subtitle"/>
    <w:basedOn w:val="1"/>
    <w:next w:val="1"/>
    <w:link w:val="11"/>
    <w:qFormat/>
    <w:uiPriority w:val="0"/>
    <w:pPr>
      <w:spacing w:before="240" w:after="60" w:line="312" w:lineRule="auto"/>
      <w:jc w:val="center"/>
      <w:outlineLvl w:val="1"/>
    </w:pPr>
    <w:rPr>
      <w:rFonts w:ascii="Cambria" w:hAnsi="Cambria" w:eastAsia="宋体"/>
      <w:b/>
      <w:bCs/>
      <w:kern w:val="28"/>
      <w:sz w:val="32"/>
      <w:szCs w:val="32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customStyle="1" w:styleId="9">
    <w:name w:val="页眉 Char"/>
    <w:basedOn w:val="6"/>
    <w:link w:val="3"/>
    <w:uiPriority w:val="0"/>
    <w:rPr>
      <w:rFonts w:ascii="Calibri" w:hAnsi="Calibri" w:eastAsia="仿宋_GB2312"/>
      <w:kern w:val="2"/>
      <w:sz w:val="18"/>
      <w:szCs w:val="18"/>
    </w:rPr>
  </w:style>
  <w:style w:type="character" w:customStyle="1" w:styleId="10">
    <w:name w:val="页脚 Char"/>
    <w:basedOn w:val="6"/>
    <w:link w:val="2"/>
    <w:qFormat/>
    <w:uiPriority w:val="0"/>
    <w:rPr>
      <w:rFonts w:ascii="Calibri" w:hAnsi="Calibri" w:eastAsia="仿宋_GB2312"/>
      <w:kern w:val="2"/>
      <w:sz w:val="18"/>
      <w:szCs w:val="18"/>
    </w:rPr>
  </w:style>
  <w:style w:type="character" w:customStyle="1" w:styleId="11">
    <w:name w:val="副标题 Char"/>
    <w:basedOn w:val="6"/>
    <w:link w:val="4"/>
    <w:qFormat/>
    <w:uiPriority w:val="0"/>
    <w:rPr>
      <w:rFonts w:ascii="Cambria" w:hAnsi="Cambria"/>
      <w:b/>
      <w:bCs/>
      <w:kern w:val="28"/>
      <w:sz w:val="32"/>
      <w:szCs w:val="32"/>
    </w:rPr>
  </w:style>
  <w:style w:type="paragraph" w:customStyle="1" w:styleId="12">
    <w:name w:val="Char Char Char Char Char Char Char"/>
    <w:basedOn w:val="1"/>
    <w:uiPriority w:val="0"/>
    <w:rPr>
      <w:rFonts w:ascii="Times New Roman" w:hAnsi="Times New Roman" w:eastAsia="宋体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271</Words>
  <Characters>1550</Characters>
  <Lines>12</Lines>
  <Paragraphs>3</Paragraphs>
  <TotalTime>65</TotalTime>
  <ScaleCrop>false</ScaleCrop>
  <LinksUpToDate>false</LinksUpToDate>
  <CharactersWithSpaces>1818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2019-01-03T06:35:00Z</dcterms:created>
  <dc:creator>NTKO</dc:creator>
  <cp:lastModifiedBy>徐伟</cp:lastModifiedBy>
  <cp:lastPrinted>2019-01-03T08:01:00Z</cp:lastPrinted>
  <dcterms:modified xsi:type="dcterms:W3CDTF">2019-01-16T05:31:07Z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