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1" w:name="_GoBack"/>
      <w:bookmarkEnd w:id="1"/>
      <w:r>
        <w:rPr>
          <w:rFonts w:hint="eastAsia" w:ascii="宋体" w:hAnsi="宋体"/>
          <w:color w:val="008000"/>
          <w:sz w:val="24"/>
        </w:rPr>
        <w:t>提案内容：</w:t>
      </w:r>
    </w:p>
    <w:p>
      <w:pPr>
        <w:jc w:val="center"/>
        <w:rPr>
          <w:rFonts w:ascii="黑体" w:hAnsi="黑体" w:eastAsia="黑体"/>
          <w:b/>
          <w:sz w:val="44"/>
          <w:szCs w:val="44"/>
        </w:rPr>
      </w:pPr>
      <w:bookmarkStart w:id="0" w:name="casetitle2"/>
      <w:r>
        <w:rPr>
          <w:rFonts w:ascii="黑体" w:hAnsi="黑体" w:eastAsia="黑体"/>
          <w:b/>
          <w:sz w:val="44"/>
          <w:szCs w:val="44"/>
        </w:rPr>
        <w:t>关于加快推进农业产销对接智能化赋能上海乡村振兴的建议</w:t>
      </w:r>
      <w:bookmarkEnd w:id="0"/>
    </w:p>
    <w:p>
      <w:pPr>
        <w:jc w:val="center"/>
        <w:rPr>
          <w:rFonts w:ascii="黑体" w:hAnsi="黑体" w:eastAsia="黑体"/>
          <w:sz w:val="44"/>
          <w:szCs w:val="44"/>
        </w:rPr>
      </w:pPr>
    </w:p>
    <w:p>
      <w:pPr>
        <w:rPr>
          <w:rFonts w:ascii="黑体" w:hAnsi="黑体" w:eastAsia="黑体"/>
          <w:b/>
          <w:color w:val="008000"/>
          <w:sz w:val="36"/>
          <w:szCs w:val="36"/>
        </w:rPr>
      </w:pPr>
    </w:p>
    <w:p>
      <w:pPr>
        <w:pStyle w:val="10"/>
        <w:rPr>
          <w:rStyle w:val="7"/>
          <w:rFonts w:ascii="Calibri" w:hAnsi="Calibri" w:eastAsia="宋体" w:cs="Times New Roman"/>
        </w:rPr>
      </w:pPr>
      <w:r>
        <w:rPr>
          <w:rStyle w:val="7"/>
          <w:rFonts w:ascii="宋体" w:hAnsi="宋体" w:eastAsia="宋体" w:cs="宋体"/>
          <w:b/>
          <w:color w:val="008000"/>
          <w:sz w:val="36"/>
        </w:rPr>
        <w:t>※背景情况※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数字农业农村是乡村振兴战略高水平推进的关键引擎，产销对接智能化则是数字农业农村的重中之重。</w:t>
      </w:r>
    </w:p>
    <w:p>
      <w:pPr>
        <w:pStyle w:val="10"/>
        <w:rPr>
          <w:rStyle w:val="7"/>
          <w:rFonts w:ascii="Calibri" w:hAnsi="Calibri" w:eastAsia="宋体" w:cs="Times New Roman"/>
        </w:rPr>
      </w:pPr>
      <w:r>
        <w:rPr>
          <w:rStyle w:val="7"/>
          <w:rFonts w:ascii="宋体" w:hAnsi="宋体" w:eastAsia="宋体" w:cs="宋体"/>
          <w:b/>
          <w:color w:val="008000"/>
          <w:sz w:val="36"/>
        </w:rPr>
        <w:t>――――――――――――――――――――――</w:t>
      </w:r>
    </w:p>
    <w:p>
      <w:pPr>
        <w:pStyle w:val="10"/>
        <w:rPr>
          <w:rStyle w:val="7"/>
          <w:rFonts w:hint="eastAsia" w:ascii="宋体" w:hAnsi="宋体" w:eastAsia="宋体" w:cs="宋体"/>
          <w:b/>
          <w:color w:val="008000"/>
          <w:sz w:val="36"/>
          <w:lang w:eastAsia="zh-CN"/>
        </w:rPr>
      </w:pPr>
      <w:r>
        <w:rPr>
          <w:rStyle w:val="7"/>
          <w:rFonts w:ascii="宋体" w:hAnsi="宋体" w:eastAsia="宋体" w:cs="宋体"/>
          <w:b/>
          <w:color w:val="008000"/>
          <w:sz w:val="36"/>
        </w:rPr>
        <w:t>※问题及分析※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尽管上海率先在全国开启智慧城市建设的探索，近十年在经济、社会、民生和文化等多个领域建设成果显著，在数字农业农村发展方面也进行了积极探索，然而，通过调研发现，推进农业产销对接智能化方面，除了经营主体对智能化认识不足，以及农业劳动力现状无法匹配智能化外，最主要的原因在于农业产销对接数据未能有效匹配，具体表现为：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jc w:val="both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</w:rPr>
        <w:t>1、已有产销数据系统尚未兼容，大数据应用程度低。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市、区两级系统尚有待进一步兼容，相关数据资源汇聚难度较大，信息共享机制还有待完善；区级部门之间的业务信息也有待进一步整合。基于全产业链的数据挖掘还处于初级阶段。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jc w:val="both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</w:rPr>
        <w:t>2、细碎化经营影响了生产数据的及时率和准确率。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从生产经营端来看，农地细碎化问题突出，以某涉农区的常年菜田为例，小于50亩的经营主体占比高达96%，而一个不足50亩的果蔬专业合作社，其田块就有37个。细碎化问题在一定程度上影响了填报数据的及时性和准确性，也制约着智能化的推进。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jc w:val="both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</w:rPr>
        <w:t>3、现有系统无法为准确预判生产量和上市量起到支撑作用。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因现有相关数据的准确性和及时性不足，导致无法准确预判主要地产农产品的生产量和上市量，继而影响产销的有效对接。</w:t>
      </w:r>
    </w:p>
    <w:p>
      <w:pPr>
        <w:pStyle w:val="10"/>
        <w:rPr>
          <w:rStyle w:val="7"/>
          <w:rFonts w:ascii="Calibri" w:hAnsi="Calibri" w:eastAsia="宋体" w:cs="Times New Roman"/>
        </w:rPr>
      </w:pPr>
      <w:r>
        <w:rPr>
          <w:rStyle w:val="7"/>
          <w:rFonts w:ascii="宋体" w:hAnsi="宋体" w:eastAsia="宋体" w:cs="宋体"/>
          <w:b/>
          <w:color w:val="008000"/>
          <w:sz w:val="36"/>
        </w:rPr>
        <w:t>――――――――――――――――――――――</w:t>
      </w:r>
    </w:p>
    <w:p>
      <w:pPr>
        <w:pStyle w:val="10"/>
        <w:rPr>
          <w:rStyle w:val="7"/>
          <w:rFonts w:hint="eastAsia" w:ascii="宋体" w:hAnsi="宋体" w:eastAsia="宋体" w:cs="宋体"/>
          <w:b/>
          <w:color w:val="008000"/>
          <w:sz w:val="36"/>
          <w:lang w:eastAsia="zh-CN"/>
        </w:rPr>
      </w:pPr>
      <w:r>
        <w:rPr>
          <w:rStyle w:val="7"/>
          <w:rFonts w:ascii="宋体" w:hAnsi="宋体" w:eastAsia="宋体" w:cs="宋体"/>
          <w:b/>
          <w:color w:val="008000"/>
          <w:sz w:val="36"/>
        </w:rPr>
        <w:t>※建议※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为此,建议加强信息融合，分类实现产销数字化精准匹配。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jc w:val="both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</w:rPr>
        <w:t>1、用好大数据中心平台，重视涉农数据的运用。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加强市、区及区内相关部门涉农数据的融合与系统兼容。加强对示范基地实际销售情况的跟踪统计分析，包括农产品的销售流向、订单构成、销售排名、销售区域分析、农作物销售占比等数据，实现对规模经营主体销售信息的整体掌控。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jc w:val="both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</w:rPr>
        <w:t>2、制定系统的数据填报操作规范和标准。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已有信息系统存在填报数据不准确、不及时等问题，亟需制定数据填报操作规范和标准，解决解释口径不一的问题。此外，还需加强农技中心等相关技术部门的力量，配合主管部门加强基础数据准确性的审核判断。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jc w:val="both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</w:rPr>
        <w:t>3、通过推进规模化组织化程度，为粮食、蔬菜的产销对接智能化提供规模保证。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以推进高标准农田建设为抓手，推进粮食作物规模化经营，破解农地细碎化瓶颈，从而有效提高数据填报质量，为产销对接智能化提供规模保证。复制推广清美等以需定产的经验，进一步充分发挥行业内领军企业在蔬菜规模化组织化生产的作用，加快地产蔬菜产销对接智能化。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jc w:val="both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</w:rPr>
        <w:t>4、通过新技术新业态加快产业融合步伐，推进特色农产品产销对接智能化。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复制推广桃咏等的经验，通过直播带货、一卡通消费电子券等举措，进一步加快瓜果等地产特色农产品生产与乡村旅游、农事体验、康养等一二三产业融合步伐，推进特色农产品产销对接智能化。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jc w:val="both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</w:rPr>
        <w:t>5、通过信息技术赋能，完善产销信息平台。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为农业经营主体、经销商提供数据入口，双方发布真实供应量、需求量，使得供需精准匹配，减少搜寻成本、沟通成本和交易成本，大大降低供需错配带来的非必要周转和耗时。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jc w:val="both"/>
        <w:textAlignment w:val="auto"/>
        <w:rPr>
          <w:rStyle w:val="7"/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Style w:val="7"/>
          <w:rFonts w:hint="eastAsia" w:ascii="楷体_GB2312" w:hAnsi="楷体_GB2312" w:eastAsia="楷体_GB2312" w:cs="楷体_GB2312"/>
          <w:b/>
          <w:bCs/>
          <w:sz w:val="32"/>
          <w:szCs w:val="32"/>
        </w:rPr>
        <w:t>6、加快构建智能预测模型。</w:t>
      </w:r>
      <w:r>
        <w:rPr>
          <w:rStyle w:val="7"/>
          <w:rFonts w:hint="eastAsia" w:ascii="仿宋_GB2312" w:hAnsi="仿宋_GB2312" w:eastAsia="仿宋_GB2312" w:cs="仿宋_GB2312"/>
          <w:sz w:val="32"/>
          <w:szCs w:val="32"/>
        </w:rPr>
        <w:t>在打牢数据基座的基础上，利用互联网技术深入挖掘农业数据的潜在价值，加快构建智能预测模型，精准调控产销市场。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Webdings">
    <w:panose1 w:val="05030102010509060703"/>
    <w:charset w:val="02"/>
    <w:family w:val="roman"/>
    <w:pitch w:val="default"/>
    <w:sig w:usb0="00000000" w:usb1="00000000" w:usb2="00000000" w:usb3="00000000" w:csb0="8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sz w:val="28"/>
        <w:szCs w:val="28"/>
        <w:lang w:eastAsia="zh-CN"/>
      </w:rPr>
    </w:pPr>
    <w:r>
      <w:rPr>
        <w:rFonts w:hint="eastAsia"/>
        <w:sz w:val="28"/>
        <w:szCs w:val="28"/>
        <w:lang w:eastAsia="zh-CN"/>
      </w:rPr>
      <w:t>第</w:t>
    </w:r>
    <w:r>
      <w:rPr>
        <w:b/>
        <w:sz w:val="28"/>
        <w:szCs w:val="28"/>
      </w:rPr>
      <w:fldChar w:fldCharType="begin"/>
    </w:r>
    <w:r>
      <w:rPr>
        <w:b/>
        <w:sz w:val="28"/>
        <w:szCs w:val="28"/>
      </w:rPr>
      <w:instrText xml:space="preserve">PAGE</w:instrText>
    </w:r>
    <w:r>
      <w:rPr>
        <w:b/>
        <w:sz w:val="28"/>
        <w:szCs w:val="28"/>
      </w:rPr>
      <w:fldChar w:fldCharType="separate"/>
    </w:r>
    <w:r>
      <w:rPr>
        <w:b/>
        <w:sz w:val="28"/>
        <w:szCs w:val="28"/>
      </w:rPr>
      <w:t>1</w:t>
    </w:r>
    <w:r>
      <w:rPr>
        <w:b/>
        <w:sz w:val="28"/>
        <w:szCs w:val="28"/>
      </w:rPr>
      <w:fldChar w:fldCharType="end"/>
    </w:r>
    <w:r>
      <w:rPr>
        <w:rFonts w:hint="eastAsia"/>
        <w:b/>
        <w:sz w:val="28"/>
        <w:szCs w:val="28"/>
        <w:lang w:eastAsia="zh-CN"/>
      </w:rPr>
      <w:t>页</w:t>
    </w:r>
    <w:r>
      <w:rPr>
        <w:sz w:val="28"/>
        <w:szCs w:val="28"/>
        <w:lang w:val="zh-CN"/>
      </w:rPr>
      <w:t xml:space="preserve"> / </w:t>
    </w:r>
    <w:r>
      <w:rPr>
        <w:rFonts w:hint="eastAsia"/>
        <w:sz w:val="28"/>
        <w:szCs w:val="28"/>
        <w:lang w:val="zh-CN" w:eastAsia="zh-CN"/>
      </w:rPr>
      <w:t>共</w:t>
    </w:r>
    <w:r>
      <w:rPr>
        <w:b/>
        <w:sz w:val="28"/>
        <w:szCs w:val="28"/>
      </w:rPr>
      <w:fldChar w:fldCharType="begin"/>
    </w:r>
    <w:r>
      <w:rPr>
        <w:b/>
        <w:sz w:val="28"/>
        <w:szCs w:val="28"/>
      </w:rPr>
      <w:instrText xml:space="preserve">NUMPAGES</w:instrText>
    </w:r>
    <w:r>
      <w:rPr>
        <w:b/>
        <w:sz w:val="28"/>
        <w:szCs w:val="28"/>
      </w:rPr>
      <w:fldChar w:fldCharType="separate"/>
    </w:r>
    <w:r>
      <w:rPr>
        <w:b/>
        <w:sz w:val="28"/>
        <w:szCs w:val="28"/>
      </w:rPr>
      <w:t>2</w:t>
    </w:r>
    <w:r>
      <w:rPr>
        <w:b/>
        <w:sz w:val="28"/>
        <w:szCs w:val="28"/>
      </w:rPr>
      <w:fldChar w:fldCharType="end"/>
    </w:r>
    <w:r>
      <w:rPr>
        <w:rFonts w:hint="eastAsia"/>
        <w:sz w:val="28"/>
        <w:szCs w:val="28"/>
        <w:lang w:eastAsia="zh-CN"/>
      </w:rPr>
      <w:t>页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  <w:jc w:val="right"/>
      <w:rPr>
        <w:color w:val="008000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doNotDisplayPageBoundarie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NiNmU3ODBhNjNmMzM1ZWY3YmI4MzliOTY3NGMxNzMifQ=="/>
  </w:docVars>
  <w:rsids>
    <w:rsidRoot w:val="00000000"/>
    <w:rsid w:val="1238086C"/>
    <w:rsid w:val="72FD3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iPriority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nhideWhenUsed="0" w:uiPriority="0" w:semiHidden="0" w:name="Table Subtle 1"/>
    <w:lsdException w:uiPriority="0" w:name="Table Subtle 2"/>
    <w:lsdException w:uiPriority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link w:val="9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字符"/>
    <w:link w:val="4"/>
    <w:qFormat/>
    <w:uiPriority w:val="0"/>
    <w:rPr>
      <w:kern w:val="2"/>
      <w:sz w:val="18"/>
      <w:szCs w:val="18"/>
    </w:rPr>
  </w:style>
  <w:style w:type="character" w:customStyle="1" w:styleId="9">
    <w:name w:val="页脚 字符"/>
    <w:link w:val="3"/>
    <w:qFormat/>
    <w:uiPriority w:val="99"/>
    <w:rPr>
      <w:kern w:val="2"/>
      <w:sz w:val="18"/>
      <w:szCs w:val="18"/>
    </w:rPr>
  </w:style>
  <w:style w:type="paragraph" w:customStyle="1" w:styleId="10">
    <w:name w:val="Normal_0"/>
    <w:qFormat/>
    <w:uiPriority w:val="0"/>
    <w:pPr>
      <w:widowControl w:val="0"/>
      <w:jc w:val="both"/>
    </w:pPr>
    <w:rPr>
      <w:rFonts w:ascii="Calibri" w:hAnsi="Calibri" w:eastAsia="宋体" w:cs="Times New Roman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3DCF17-5463-4387-8981-BDCAA06693C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SHZX</Company>
  <Pages>4</Pages>
  <Words>1540</Words>
  <Characters>1600</Characters>
  <Lines>3</Lines>
  <Paragraphs>1</Paragraphs>
  <TotalTime>3</TotalTime>
  <ScaleCrop>false</ScaleCrop>
  <LinksUpToDate>false</LinksUpToDate>
  <CharactersWithSpaces>1676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2021-04-01T05:16:00Z</dcterms:created>
  <dc:creator>张丁</dc:creator>
  <cp:lastModifiedBy>yms</cp:lastModifiedBy>
  <cp:lastPrinted>2013-01-09T04:21:00Z</cp:lastPrinted>
  <dcterms:modified xsi:type="dcterms:W3CDTF">2023-06-05T01:52:34Z</dcterms:modified>
  <dc:title>中国人民政治协商会议上海市第十届委员会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8AEFFAD578B84CFE98FB3D52E56E6CBB</vt:lpwstr>
  </property>
</Properties>
</file>