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360" w:lineRule="auto"/>
        <w:rPr>
          <w:rFonts w:hint="eastAsia" w:ascii="仿宋_GB2312" w:hAnsi="宋体" w:eastAsia="仿宋_GB2312" w:cs="仿宋_GB2312"/>
          <w:sz w:val="32"/>
          <w:szCs w:val="32"/>
          <w:lang w:bidi="ar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1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蛋鸡绿色智能饲养与固废资源化利用设施改造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项目投资明细表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tbl>
      <w:tblPr>
        <w:tblStyle w:val="6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9"/>
        <w:gridCol w:w="2634"/>
        <w:gridCol w:w="660"/>
        <w:gridCol w:w="1170"/>
        <w:gridCol w:w="1410"/>
        <w:gridCol w:w="175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6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6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433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审定金额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投资额（万元）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设施建设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1692.10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（一）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土建设施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围墙改造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</w:t>
            </w:r>
          </w:p>
        </w:tc>
        <w:tc>
          <w:tcPr>
            <w:tcW w:w="1170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（二）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蛋鸡智能叠层饲养设施</w:t>
            </w:r>
          </w:p>
        </w:tc>
        <w:tc>
          <w:tcPr>
            <w:tcW w:w="66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682.92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34组三层叠层式蛋鸡笼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列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163200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587.52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15组三层叠层式育成笼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列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44800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13组三层叠层式育成笼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列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40800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12.24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12组三层叠层式育成笼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列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38800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15组三层叠层育雏育成笼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列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49300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29.58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18组三层叠层育雏育成笼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列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50200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15.06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（三）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智能化生产管理设施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104.63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高清视频监控系统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666600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66.66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信息化生产管理系统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379700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37.97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(四）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电力设施改造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136.92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3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电力增容及配套设施改造</w:t>
            </w:r>
          </w:p>
        </w:tc>
        <w:tc>
          <w:tcPr>
            <w:tcW w:w="66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1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789000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78.90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3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场内用户线路改造</w:t>
            </w:r>
          </w:p>
        </w:tc>
        <w:tc>
          <w:tcPr>
            <w:tcW w:w="66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1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580200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58.02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（五）</w:t>
            </w:r>
          </w:p>
        </w:tc>
        <w:tc>
          <w:tcPr>
            <w:tcW w:w="263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鸡舍绿色环控设施</w:t>
            </w:r>
          </w:p>
        </w:tc>
        <w:tc>
          <w:tcPr>
            <w:tcW w:w="66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285.48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鸡舍内环境智能调控设施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1462800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146.28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鸡舍臭氧除尘灭菌设施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1152000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115.20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鸡舍喷雾消毒设施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240000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（六）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生态环保设施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473.15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固废资源化利用设施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3918000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391.80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废气水喷淋净化设施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813500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81.35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设备采购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106.42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（一）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备用柴油发电设备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300KW静音柴油发电机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156800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（二）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物流运输设备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90.74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5T飞翼箱式货车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366800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32.18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2T飞翼箱式货车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282800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23.78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5T自卸式货车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296000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25.10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1m</w:t>
            </w: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3</w:t>
            </w:r>
            <w:r>
              <w:rPr>
                <w:rFonts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装载机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96800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</w:t>
            </w:r>
          </w:p>
        </w:tc>
        <w:tc>
          <w:tcPr>
            <w:tcW w:w="2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341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1811.52</w:t>
            </w:r>
          </w:p>
        </w:tc>
      </w:tr>
    </w:tbl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2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黄桃种苗繁育及生产基地建设项目投资明细表</w:t>
      </w:r>
    </w:p>
    <w:tbl>
      <w:tblPr>
        <w:tblStyle w:val="6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9"/>
        <w:gridCol w:w="2619"/>
        <w:gridCol w:w="690"/>
        <w:gridCol w:w="1140"/>
        <w:gridCol w:w="1410"/>
        <w:gridCol w:w="17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6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6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43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审定金额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投资额（万元）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设施建设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171.17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0.6M宽水泥明沟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泵站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座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120000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水泥道路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4327.5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121.17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设备采购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176.54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GSW8440连栋塑料薄膜温室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1376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33.02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监控系统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374190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37.41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金属围栏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1202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190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22.83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灌溉系统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422829.84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42.28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乘坐式割草机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60000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采收平台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300000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风送式喷雾机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33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359.71 </w:t>
            </w:r>
          </w:p>
        </w:tc>
      </w:tr>
    </w:tbl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3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贤佑优质黄桃生产基地建设项目投资明细表</w:t>
      </w:r>
    </w:p>
    <w:tbl>
      <w:tblPr>
        <w:tblStyle w:val="6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9"/>
        <w:gridCol w:w="2619"/>
        <w:gridCol w:w="705"/>
        <w:gridCol w:w="1140"/>
        <w:gridCol w:w="1395"/>
        <w:gridCol w:w="175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6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审定金额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7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投资额（万元）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设施建设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717.93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（一）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基础设施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243.73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2.5米水泥道路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587.5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245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14.39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4.0米水泥道路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10.53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0.8米水泥明沟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584.6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16.36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1.0米水泥明沟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669.5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19.41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过路涵管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处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1.28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过道板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块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铁丝网围栏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141.09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电动伸缩门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85000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简易葡萄廊架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136.85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31.13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（二）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生产设施</w:t>
            </w:r>
          </w:p>
        </w:tc>
        <w:tc>
          <w:tcPr>
            <w:tcW w:w="70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474.20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GSW8440连栋塑料薄膜温室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16576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414.40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园区监控系统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230000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23.00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环境监测及温室控制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368038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设备采购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75.30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冷藏车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156000 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电动叉车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43500 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4.35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果园打药机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4500 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乘坐式割草机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30000 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施肥开沟机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20000 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采收平台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248000 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装载机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150000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绿色防控灯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3500</w:t>
            </w: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8.75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339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848.23 </w:t>
            </w:r>
          </w:p>
        </w:tc>
      </w:tr>
    </w:tbl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4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棠茵花卉生产基地建设项目投资明细表</w:t>
      </w:r>
    </w:p>
    <w:tbl>
      <w:tblPr>
        <w:tblStyle w:val="6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9"/>
        <w:gridCol w:w="2619"/>
        <w:gridCol w:w="720"/>
        <w:gridCol w:w="1129"/>
        <w:gridCol w:w="1391"/>
        <w:gridCol w:w="174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6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7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42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审定金额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6" w:hRule="atLeast"/>
        </w:trPr>
        <w:tc>
          <w:tcPr>
            <w:tcW w:w="7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7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投资额（万元）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设施建设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1108.67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（一）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生产设施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811.84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VBWJ12450玻璃温室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2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7296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795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580.03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自动化控制系统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2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558314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55.83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水肥一体化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2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1145279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114.52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苗床网架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2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1958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128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25.06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苗床基础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2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470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9.40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监控系统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29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270000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27.00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（二）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基础设施</w:t>
            </w:r>
          </w:p>
        </w:tc>
        <w:tc>
          <w:tcPr>
            <w:tcW w:w="72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296.83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配套用房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368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2200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80.96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场地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173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260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4.49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3.5m宽水泥道路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vertAlign w:val="superscript"/>
                <w:lang w:val="en-US" w:eastAsia="zh-CN" w:bidi="ar"/>
              </w:rPr>
              <w:t>2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3948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260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102.64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1m宽水泥明沟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1798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43.15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灌溉取水口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处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2.40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金属网围栏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1682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40.36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电力系统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228350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22.83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设备采购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80.47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运输卡车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186800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18.68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运输汽车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147980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14.79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农机设备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Times New Roman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批</w:t>
            </w: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470000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47.00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36.00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1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1225.14 </w:t>
            </w:r>
          </w:p>
        </w:tc>
      </w:tr>
    </w:tbl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附件5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南美白对虾封闭式温棚集约化养殖项目投资明细表</w:t>
      </w:r>
    </w:p>
    <w:tbl>
      <w:tblPr>
        <w:tblStyle w:val="6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9"/>
        <w:gridCol w:w="2694"/>
        <w:gridCol w:w="675"/>
        <w:gridCol w:w="1095"/>
        <w:gridCol w:w="1380"/>
        <w:gridCol w:w="18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7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6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审定金额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</w:trPr>
        <w:tc>
          <w:tcPr>
            <w:tcW w:w="7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投资额（万元）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设施建设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1533.00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水泥道路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2375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66.50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土方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13.50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水泥护坡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998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9.98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进水窨井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5.70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集水井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0.50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连栋温棚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36976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1294.16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砂石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m³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UPVC管De200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2.11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UPVC管De200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624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7.48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HDPE300双壁波纹管（SN4)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HDPE400双壁波纹管（SN4)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14.07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流化床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电力设施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金属网围栏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路灯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绿化苗木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1300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150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设备采购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110.20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水泵1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8000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水泵2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6000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0.60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水泵3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台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9000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0.90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水处理系统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391000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39.10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水质在线监测系统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200000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监控系统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200000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增氧系统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280000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28.00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300000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34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1673.20 </w:t>
            </w:r>
          </w:p>
        </w:tc>
      </w:tr>
    </w:tbl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6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奉贤粮油购销公司大米加工生产线建设项目投资明细表</w:t>
      </w:r>
    </w:p>
    <w:tbl>
      <w:tblPr>
        <w:tblStyle w:val="6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9"/>
        <w:gridCol w:w="2709"/>
        <w:gridCol w:w="660"/>
        <w:gridCol w:w="1095"/>
        <w:gridCol w:w="1380"/>
        <w:gridCol w:w="18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0" w:hRule="atLeast"/>
        </w:trPr>
        <w:tc>
          <w:tcPr>
            <w:tcW w:w="7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7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66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429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审定金额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7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6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投资额（万元）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基础设施建设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135.20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厂房平台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576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115.20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承重基础加固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设备采购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1180.86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大米加工生产线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套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10882600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1088.26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8吨货运卡车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198000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电动叉车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113000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22.60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电动扫地车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4.80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装载机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辆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128000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25.60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34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1366.06 </w:t>
            </w:r>
          </w:p>
        </w:tc>
      </w:tr>
    </w:tbl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7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奉贤区现代农业废弃物循环利用项目投资明细表</w:t>
      </w:r>
    </w:p>
    <w:tbl>
      <w:tblPr>
        <w:tblStyle w:val="6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9"/>
        <w:gridCol w:w="2709"/>
        <w:gridCol w:w="675"/>
        <w:gridCol w:w="1065"/>
        <w:gridCol w:w="1380"/>
        <w:gridCol w:w="18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7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42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审定金额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6" w:hRule="atLeast"/>
        </w:trPr>
        <w:tc>
          <w:tcPr>
            <w:tcW w:w="7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投资额（万元）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设施建设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795.31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钢结构有机肥生产工场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4786.4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1600</w:t>
            </w:r>
          </w:p>
        </w:tc>
        <w:tc>
          <w:tcPr>
            <w:tcW w:w="1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765.82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室外水泥场地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1179.6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250</w:t>
            </w:r>
          </w:p>
        </w:tc>
        <w:tc>
          <w:tcPr>
            <w:tcW w:w="1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29.49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34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815.31 </w:t>
            </w:r>
          </w:p>
        </w:tc>
      </w:tr>
    </w:tbl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8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奉贤区青村绿叶菜生产基地建设项目投资明细表</w:t>
      </w:r>
    </w:p>
    <w:tbl>
      <w:tblPr>
        <w:tblStyle w:val="6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9"/>
        <w:gridCol w:w="2694"/>
        <w:gridCol w:w="690"/>
        <w:gridCol w:w="1065"/>
        <w:gridCol w:w="1380"/>
        <w:gridCol w:w="18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6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6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42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审定金额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</w:trPr>
        <w:tc>
          <w:tcPr>
            <w:tcW w:w="7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6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投资额（万元）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基础设施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1200.70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水泥道路（主路）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等线" w:hAnsi="等线" w:eastAsia="等线" w:cs="等线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7960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206.96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水泥道路（支路）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2930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64.46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1.0M水泥明沟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7740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216.72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明沟入河口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进水池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仓库及管理用房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2330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489.30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土地平整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亩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箱涵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座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明沟过道板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74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6.66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泵站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座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120000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灌溉设施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1450000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生产设施设备</w:t>
            </w:r>
          </w:p>
        </w:tc>
        <w:tc>
          <w:tcPr>
            <w:tcW w:w="69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2409.47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GSW8430连栋塑料薄膜温室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100832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195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1966.22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净菜棚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等线" w:hAnsi="等线" w:eastAsia="等线" w:cs="等线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320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320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10.24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Act植物活水器</w:t>
            </w:r>
          </w:p>
        </w:tc>
        <w:tc>
          <w:tcPr>
            <w:tcW w:w="69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720500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72.05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金属网围栏</w:t>
            </w:r>
          </w:p>
        </w:tc>
        <w:tc>
          <w:tcPr>
            <w:tcW w:w="69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4440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210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93.24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保鲜冷库</w:t>
            </w:r>
          </w:p>
        </w:tc>
        <w:tc>
          <w:tcPr>
            <w:tcW w:w="69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1016506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101.65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预冷库</w:t>
            </w:r>
          </w:p>
        </w:tc>
        <w:tc>
          <w:tcPr>
            <w:tcW w:w="69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131402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13.14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电力设施</w:t>
            </w:r>
          </w:p>
        </w:tc>
        <w:tc>
          <w:tcPr>
            <w:tcW w:w="69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980000 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98.00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太阳能杀虫灯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盏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3800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蔬菜废弃物处理系统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414560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41.45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蔬菜农残检测设备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58800</w:t>
            </w: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5.88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</w:t>
            </w:r>
          </w:p>
        </w:tc>
        <w:tc>
          <w:tcPr>
            <w:tcW w:w="2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160.00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34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3770.17 </w:t>
            </w:r>
          </w:p>
        </w:tc>
      </w:tr>
    </w:tbl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9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奉贤区四团三坎蔬菜生产基地建设项目投资明细表</w:t>
      </w:r>
    </w:p>
    <w:tbl>
      <w:tblPr>
        <w:tblStyle w:val="6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9"/>
        <w:gridCol w:w="2709"/>
        <w:gridCol w:w="675"/>
        <w:gridCol w:w="1050"/>
        <w:gridCol w:w="1395"/>
        <w:gridCol w:w="183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7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6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42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审定金额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投资额（万元）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基础设施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907.75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水泥道路（主路）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260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45.76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水泥道路（支路）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8045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220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176.99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1.0M水泥明沟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4800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280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134.40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土地平整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亩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进水池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35000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10.50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明沟入河口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个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2.10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水泥场地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200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灌溉设施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1400000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电力设施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2350000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235.00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仓库及管理用房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2100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147.00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生产设施设备</w:t>
            </w:r>
          </w:p>
        </w:tc>
        <w:tc>
          <w:tcPr>
            <w:tcW w:w="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2046.58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GSW8430连栋温室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ascii="等线" w:hAnsi="等线" w:eastAsia="等线" w:cs="等线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㎡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88800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195 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1731.60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金属网围栏</w:t>
            </w:r>
          </w:p>
        </w:tc>
        <w:tc>
          <w:tcPr>
            <w:tcW w:w="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2800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230 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64.40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蔬菜废弃物处理系统</w:t>
            </w:r>
          </w:p>
        </w:tc>
        <w:tc>
          <w:tcPr>
            <w:tcW w:w="6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 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432400 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43.24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净菜设施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2014600.2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201.46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农残检测设备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项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58800</w:t>
            </w: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5.88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130.00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34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6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3084.33 </w:t>
            </w:r>
          </w:p>
        </w:tc>
      </w:tr>
    </w:tbl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</w:p>
    <w:p>
      <w:pPr>
        <w:adjustRightInd w:val="0"/>
        <w:snapToGrid w:val="0"/>
        <w:spacing w:line="360" w:lineRule="auto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10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食用木腐菌工厂化种业创新基地建设和能力提升</w:t>
      </w:r>
    </w:p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项目投资明细表</w:t>
      </w:r>
    </w:p>
    <w:tbl>
      <w:tblPr>
        <w:tblStyle w:val="6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79"/>
        <w:gridCol w:w="2709"/>
        <w:gridCol w:w="690"/>
        <w:gridCol w:w="1050"/>
        <w:gridCol w:w="1380"/>
        <w:gridCol w:w="184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270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建设内容</w:t>
            </w:r>
          </w:p>
        </w:tc>
        <w:tc>
          <w:tcPr>
            <w:tcW w:w="6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单位</w:t>
            </w:r>
          </w:p>
        </w:tc>
        <w:tc>
          <w:tcPr>
            <w:tcW w:w="42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审定金额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270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6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数量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单价（元）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投资额（万元）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一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设施建设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864.17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研发楼改造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Style w:val="22"/>
                <w:lang w:val="en-US" w:eastAsia="zh-CN" w:bidi="ar"/>
              </w:rPr>
              <w:t>㎡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1552.08 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4988.00 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774.17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室外给排水管、消防管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m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400000 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40.00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天然气接入费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500000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50.00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设备采购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1453.77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种质资源平台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646000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64.60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品种选育平台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2473100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247.31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参数数据平台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2420400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242.04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良种制造平台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8945100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899.82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三</w:t>
            </w:r>
          </w:p>
        </w:tc>
        <w:tc>
          <w:tcPr>
            <w:tcW w:w="2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二类费用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84.00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34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2401.94 </w:t>
            </w:r>
          </w:p>
        </w:tc>
      </w:tr>
    </w:tbl>
    <w:p>
      <w:pPr>
        <w:pStyle w:val="9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after="0" w:line="288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bookmarkStart w:id="0" w:name="_GoBack"/>
      <w:bookmarkEnd w:id="0"/>
    </w:p>
    <w:sectPr>
      <w:footerReference r:id="rId3" w:type="default"/>
      <w:pgSz w:w="11906" w:h="16838"/>
      <w:pgMar w:top="2098" w:right="1588" w:bottom="2098" w:left="1588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F74EDDF7-F8F1-4C23-B74D-DCBEF6D54A28}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  <w:embedRegular r:id="rId2" w:fontKey="{1408C9D8-63D4-4A74-91C5-05A96A27E9E6}"/>
  </w:font>
  <w:font w:name="方正小标宋简体">
    <w:panose1 w:val="03000509000000000000"/>
    <w:charset w:val="86"/>
    <w:family w:val="auto"/>
    <w:pitch w:val="default"/>
    <w:sig w:usb0="00000000" w:usb1="00000000" w:usb2="00000000" w:usb3="00000000" w:csb0="00000000" w:csb1="00000000"/>
    <w:embedRegular r:id="rId3" w:fontKey="{33AF0EF3-A3EA-4068-BB06-E33DABB4904F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page" w:x="9329" w:y="37"/>
      <w:rPr>
        <w:rStyle w:val="8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  <w:lang/>
      </w:rPr>
      <w:t>- 8 -</w:t>
    </w:r>
    <w:r>
      <w:rPr>
        <w:rFonts w:ascii="宋体" w:hAnsi="宋体"/>
        <w:sz w:val="28"/>
        <w:szCs w:val="28"/>
      </w:rPr>
      <w:fldChar w:fldCharType="end"/>
    </w:r>
  </w:p>
  <w:p>
    <w:pPr>
      <w:pStyle w:val="4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374F54E"/>
    <w:multiLevelType w:val="multilevel"/>
    <w:tmpl w:val="8374F54E"/>
    <w:lvl w:ilvl="0" w:tentative="0">
      <w:start w:val="1"/>
      <w:numFmt w:val="decimal"/>
      <w:isLgl/>
      <w:suff w:val="space"/>
      <w:lvlText w:val="第%1章"/>
      <w:lvlJc w:val="left"/>
      <w:pPr>
        <w:tabs>
          <w:tab w:val="left" w:pos="0"/>
        </w:tabs>
        <w:ind w:left="2127" w:firstLine="0"/>
      </w:pPr>
      <w:rPr>
        <w:rFonts w:hint="eastAsia" w:ascii="Times New Roman" w:hAnsi="Times New Roman" w:eastAsia="黑体" w:cs="黑体"/>
        <w:b/>
        <w:sz w:val="32"/>
      </w:rPr>
    </w:lvl>
    <w:lvl w:ilvl="1" w:tentative="0">
      <w:start w:val="1"/>
      <w:numFmt w:val="decimal"/>
      <w:suff w:val="space"/>
      <w:lvlText w:val="%1.%2"/>
      <w:lvlJc w:val="left"/>
      <w:pPr>
        <w:tabs>
          <w:tab w:val="left" w:pos="0"/>
        </w:tabs>
        <w:ind w:left="710" w:firstLine="0"/>
      </w:pPr>
      <w:rPr>
        <w:rFonts w:hint="eastAsia" w:ascii="Times New Roman" w:hAnsi="Times New Roman" w:eastAsia="黑体" w:cs="黑体"/>
        <w:b/>
        <w:sz w:val="30"/>
      </w:rPr>
    </w:lvl>
    <w:lvl w:ilvl="2" w:tentative="0">
      <w:start w:val="1"/>
      <w:numFmt w:val="decimal"/>
      <w:pStyle w:val="2"/>
      <w:suff w:val="space"/>
      <w:lvlText w:val="%1.%2.%3"/>
      <w:lvlJc w:val="left"/>
      <w:pPr>
        <w:tabs>
          <w:tab w:val="left" w:pos="0"/>
        </w:tabs>
        <w:ind w:left="420" w:firstLine="0"/>
      </w:pPr>
      <w:rPr>
        <w:rFonts w:hint="default" w:ascii="Times New Roman" w:hAnsi="Times New Roman" w:eastAsia="黑体" w:cs="Times New Roman"/>
        <w:b/>
        <w:sz w:val="30"/>
        <w:szCs w:val="30"/>
      </w:rPr>
    </w:lvl>
    <w:lvl w:ilvl="3" w:tentative="0">
      <w:start w:val="1"/>
      <w:numFmt w:val="decimal"/>
      <w:suff w:val="space"/>
      <w:lvlText w:val="%1.%2.%3.%4"/>
      <w:lvlJc w:val="left"/>
      <w:pPr>
        <w:tabs>
          <w:tab w:val="left" w:pos="0"/>
        </w:tabs>
        <w:ind w:left="-367" w:firstLine="0"/>
      </w:pPr>
      <w:rPr>
        <w:rFonts w:hint="eastAsia" w:ascii="Times New Roman" w:hAnsi="Times New Roman" w:eastAsia="黑体" w:cs="黑体"/>
        <w:b/>
        <w:sz w:val="28"/>
      </w:rPr>
    </w:lvl>
    <w:lvl w:ilvl="4" w:tentative="0">
      <w:start w:val="1"/>
      <w:numFmt w:val="decimal"/>
      <w:suff w:val="nothing"/>
      <w:lvlText w:val="%5、"/>
      <w:lvlJc w:val="left"/>
      <w:pPr>
        <w:tabs>
          <w:tab w:val="left" w:pos="0"/>
        </w:tabs>
        <w:ind w:left="1901" w:firstLine="0"/>
      </w:pPr>
      <w:rPr>
        <w:rFonts w:hint="eastAsia" w:ascii="Times New Roman" w:hAnsi="Times New Roman" w:eastAsia="宋体" w:cs="宋体"/>
        <w:b w:val="0"/>
        <w:sz w:val="28"/>
      </w:rPr>
    </w:lvl>
    <w:lvl w:ilvl="5" w:tentative="0">
      <w:start w:val="1"/>
      <w:numFmt w:val="decimal"/>
      <w:lvlText w:val="%1.%2.%3.%4.%5.%6"/>
      <w:lvlJc w:val="left"/>
      <w:pPr>
        <w:tabs>
          <w:tab w:val="left" w:pos="5301"/>
        </w:tabs>
        <w:ind w:left="4653" w:hanging="1152"/>
      </w:pPr>
    </w:lvl>
    <w:lvl w:ilvl="6" w:tentative="0">
      <w:start w:val="1"/>
      <w:numFmt w:val="decimal"/>
      <w:lvlText w:val="%1.%2.%3.%4.%5.%6.%7"/>
      <w:lvlJc w:val="left"/>
      <w:pPr>
        <w:tabs>
          <w:tab w:val="left" w:pos="4797"/>
        </w:tabs>
        <w:ind w:left="4797" w:hanging="1296"/>
      </w:pPr>
    </w:lvl>
    <w:lvl w:ilvl="7" w:tentative="0">
      <w:start w:val="1"/>
      <w:numFmt w:val="decimal"/>
      <w:lvlText w:val="%1.%2.%3.%4.%5.%6.%7.%8"/>
      <w:lvlJc w:val="left"/>
      <w:pPr>
        <w:tabs>
          <w:tab w:val="left" w:pos="4941"/>
        </w:tabs>
        <w:ind w:left="4941" w:hanging="1440"/>
      </w:pPr>
    </w:lvl>
    <w:lvl w:ilvl="8" w:tentative="0">
      <w:start w:val="1"/>
      <w:numFmt w:val="decimal"/>
      <w:lvlText w:val="%1.%2.%3.%4.%5.%6.%7.%8.%9"/>
      <w:lvlJc w:val="left"/>
      <w:pPr>
        <w:tabs>
          <w:tab w:val="left" w:pos="5085"/>
        </w:tabs>
        <w:ind w:left="5085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oNotDisplayPageBoundaries w:val="1"/>
  <w:embedTrueTypeFonts/>
  <w:saveSubset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09C3FBE"/>
    <w:rsid w:val="00050B10"/>
    <w:rsid w:val="00055D36"/>
    <w:rsid w:val="0012369F"/>
    <w:rsid w:val="00147CC3"/>
    <w:rsid w:val="00153F18"/>
    <w:rsid w:val="001734DB"/>
    <w:rsid w:val="001B04D4"/>
    <w:rsid w:val="001C0939"/>
    <w:rsid w:val="00267CA6"/>
    <w:rsid w:val="002B441C"/>
    <w:rsid w:val="002C5554"/>
    <w:rsid w:val="00350AD6"/>
    <w:rsid w:val="0044334B"/>
    <w:rsid w:val="00444727"/>
    <w:rsid w:val="004563F1"/>
    <w:rsid w:val="004B2164"/>
    <w:rsid w:val="004D082A"/>
    <w:rsid w:val="00516AB2"/>
    <w:rsid w:val="005C13C6"/>
    <w:rsid w:val="006116B5"/>
    <w:rsid w:val="00632E07"/>
    <w:rsid w:val="00681338"/>
    <w:rsid w:val="006B4BD3"/>
    <w:rsid w:val="0074148E"/>
    <w:rsid w:val="00772E33"/>
    <w:rsid w:val="007741E3"/>
    <w:rsid w:val="007B3B29"/>
    <w:rsid w:val="00815B92"/>
    <w:rsid w:val="008A131D"/>
    <w:rsid w:val="00952838"/>
    <w:rsid w:val="00A00027"/>
    <w:rsid w:val="00A027B5"/>
    <w:rsid w:val="00A96733"/>
    <w:rsid w:val="00A9680A"/>
    <w:rsid w:val="00AC3D96"/>
    <w:rsid w:val="00B223FF"/>
    <w:rsid w:val="00B37EAA"/>
    <w:rsid w:val="00B42BB6"/>
    <w:rsid w:val="00B766E1"/>
    <w:rsid w:val="00BC5728"/>
    <w:rsid w:val="00C47899"/>
    <w:rsid w:val="00CF5725"/>
    <w:rsid w:val="00D249EB"/>
    <w:rsid w:val="00D356AC"/>
    <w:rsid w:val="00D4665F"/>
    <w:rsid w:val="00D71244"/>
    <w:rsid w:val="00DA1A5F"/>
    <w:rsid w:val="00DA572E"/>
    <w:rsid w:val="00DB42B9"/>
    <w:rsid w:val="00DF710C"/>
    <w:rsid w:val="00E34EC8"/>
    <w:rsid w:val="00EB1B82"/>
    <w:rsid w:val="00EC5992"/>
    <w:rsid w:val="00EC766C"/>
    <w:rsid w:val="00EF04F7"/>
    <w:rsid w:val="00F1376D"/>
    <w:rsid w:val="00F443C7"/>
    <w:rsid w:val="030B1005"/>
    <w:rsid w:val="07C9441E"/>
    <w:rsid w:val="088F5A83"/>
    <w:rsid w:val="0A1C647A"/>
    <w:rsid w:val="0A550975"/>
    <w:rsid w:val="0BDD1805"/>
    <w:rsid w:val="0CE64A48"/>
    <w:rsid w:val="0D272909"/>
    <w:rsid w:val="0EF609AB"/>
    <w:rsid w:val="110E4A6D"/>
    <w:rsid w:val="114B471F"/>
    <w:rsid w:val="12B27EDF"/>
    <w:rsid w:val="12F6336D"/>
    <w:rsid w:val="16CD0C15"/>
    <w:rsid w:val="190C563D"/>
    <w:rsid w:val="1A3F3101"/>
    <w:rsid w:val="1A746A41"/>
    <w:rsid w:val="1C276D70"/>
    <w:rsid w:val="1D9324AF"/>
    <w:rsid w:val="1E401C10"/>
    <w:rsid w:val="200F3A3B"/>
    <w:rsid w:val="235B635C"/>
    <w:rsid w:val="24167D8B"/>
    <w:rsid w:val="289F511A"/>
    <w:rsid w:val="28CA6E8B"/>
    <w:rsid w:val="293E7A3D"/>
    <w:rsid w:val="29445986"/>
    <w:rsid w:val="2D0949AD"/>
    <w:rsid w:val="2D680B80"/>
    <w:rsid w:val="2D985E52"/>
    <w:rsid w:val="2D990A44"/>
    <w:rsid w:val="31333CE3"/>
    <w:rsid w:val="31414553"/>
    <w:rsid w:val="327230D4"/>
    <w:rsid w:val="32AC0C26"/>
    <w:rsid w:val="32B621FC"/>
    <w:rsid w:val="32CC215A"/>
    <w:rsid w:val="33695359"/>
    <w:rsid w:val="3406776B"/>
    <w:rsid w:val="34930C0C"/>
    <w:rsid w:val="352A6E66"/>
    <w:rsid w:val="35AB11B7"/>
    <w:rsid w:val="37167B5A"/>
    <w:rsid w:val="37910670"/>
    <w:rsid w:val="39806B48"/>
    <w:rsid w:val="3B734A46"/>
    <w:rsid w:val="3DB37F1E"/>
    <w:rsid w:val="3E817FFA"/>
    <w:rsid w:val="40686B5D"/>
    <w:rsid w:val="409C3FBE"/>
    <w:rsid w:val="45C6399B"/>
    <w:rsid w:val="48E17542"/>
    <w:rsid w:val="4BBE6944"/>
    <w:rsid w:val="4D117557"/>
    <w:rsid w:val="4D32146D"/>
    <w:rsid w:val="4DC411F5"/>
    <w:rsid w:val="4E001DD0"/>
    <w:rsid w:val="4F683116"/>
    <w:rsid w:val="51E06E66"/>
    <w:rsid w:val="521A4C77"/>
    <w:rsid w:val="52624F22"/>
    <w:rsid w:val="528C435A"/>
    <w:rsid w:val="56A55352"/>
    <w:rsid w:val="5A1E7723"/>
    <w:rsid w:val="5A49390F"/>
    <w:rsid w:val="5A4B3B7B"/>
    <w:rsid w:val="5B942CA2"/>
    <w:rsid w:val="5BDA58CD"/>
    <w:rsid w:val="5D1C7B4A"/>
    <w:rsid w:val="5D227C94"/>
    <w:rsid w:val="5D913521"/>
    <w:rsid w:val="5E0E5BAD"/>
    <w:rsid w:val="5E4B150C"/>
    <w:rsid w:val="5EBE5E79"/>
    <w:rsid w:val="622218E1"/>
    <w:rsid w:val="64561C39"/>
    <w:rsid w:val="65394C9D"/>
    <w:rsid w:val="65C044DC"/>
    <w:rsid w:val="679346DE"/>
    <w:rsid w:val="689D05FB"/>
    <w:rsid w:val="690751D1"/>
    <w:rsid w:val="69933FAB"/>
    <w:rsid w:val="6B0D5ECE"/>
    <w:rsid w:val="6B8C22BB"/>
    <w:rsid w:val="6D0D5974"/>
    <w:rsid w:val="6F950EE3"/>
    <w:rsid w:val="703D6DEC"/>
    <w:rsid w:val="72836200"/>
    <w:rsid w:val="72CB4BCD"/>
    <w:rsid w:val="75534A63"/>
    <w:rsid w:val="792761DF"/>
    <w:rsid w:val="7AF90F1E"/>
    <w:rsid w:val="7B712B8B"/>
    <w:rsid w:val="7B7F205F"/>
    <w:rsid w:val="7B927D84"/>
    <w:rsid w:val="7BA65284"/>
    <w:rsid w:val="7BAF23C6"/>
    <w:rsid w:val="7BD1036B"/>
    <w:rsid w:val="7EDC01C3"/>
    <w:rsid w:val="7F3A5F95"/>
    <w:rsid w:val="7FD4333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3"/>
    <w:link w:val="10"/>
    <w:qFormat/>
    <w:uiPriority w:val="0"/>
    <w:pPr>
      <w:keepNext w:val="0"/>
      <w:keepLines w:val="0"/>
      <w:widowControl w:val="0"/>
      <w:numPr>
        <w:ilvl w:val="2"/>
        <w:numId w:val="1"/>
      </w:numPr>
      <w:suppressLineNumbers w:val="0"/>
      <w:adjustRightInd w:val="0"/>
      <w:spacing w:before="120" w:beforeAutospacing="0" w:after="0" w:afterAutospacing="0" w:line="360" w:lineRule="auto"/>
      <w:ind w:left="420" w:right="0" w:firstLine="0" w:firstLineChars="0"/>
      <w:jc w:val="both"/>
      <w:outlineLvl w:val="2"/>
    </w:pPr>
    <w:rPr>
      <w:rFonts w:hint="default" w:ascii="Times New Roman" w:hAnsi="Times New Roman" w:eastAsia="宋体" w:cs="Times New Roman"/>
      <w:b/>
      <w:kern w:val="0"/>
      <w:sz w:val="30"/>
      <w:szCs w:val="30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ascii="Calibri" w:hAnsi="Calibri" w:eastAsia="宋体" w:cs="Times New Roman"/>
      <w:kern w:val="2"/>
      <w:sz w:val="21"/>
      <w:szCs w:val="22"/>
    </w:rPr>
    <w:tblPr>
      <w:tblStyle w:val="6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uiPriority w:val="0"/>
    <w:pPr>
      <w:ind w:firstLine="420" w:firstLineChars="200"/>
    </w:p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27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uiPriority w:val="0"/>
  </w:style>
  <w:style w:type="paragraph" w:customStyle="1" w:styleId="9">
    <w:name w:val="列出段落1"/>
    <w:basedOn w:val="1"/>
    <w:uiPriority w:val="0"/>
    <w:pPr>
      <w:keepNext w:val="0"/>
      <w:keepLines w:val="0"/>
      <w:widowControl w:val="0"/>
      <w:suppressLineNumbers w:val="0"/>
      <w:spacing w:before="0" w:beforeAutospacing="0" w:after="0" w:afterAutospacing="0"/>
      <w:ind w:left="0" w:right="0" w:firstLine="420" w:firstLineChars="20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character" w:customStyle="1" w:styleId="10">
    <w:name w:val="标题 3 Char"/>
    <w:basedOn w:val="7"/>
    <w:link w:val="2"/>
    <w:uiPriority w:val="0"/>
    <w:rPr>
      <w:b/>
      <w:sz w:val="30"/>
      <w:szCs w:val="30"/>
    </w:rPr>
  </w:style>
  <w:style w:type="character" w:customStyle="1" w:styleId="11">
    <w:name w:val="font31"/>
    <w:basedOn w:val="7"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2">
    <w:name w:val="font21"/>
    <w:basedOn w:val="7"/>
    <w:uiPriority w:val="0"/>
    <w:rPr>
      <w:rFonts w:hint="default" w:ascii="仿宋_GB2312" w:eastAsia="仿宋_GB2312" w:cs="仿宋_GB2312"/>
      <w:b/>
      <w:color w:val="000000"/>
      <w:sz w:val="20"/>
      <w:szCs w:val="20"/>
      <w:u w:val="none"/>
    </w:rPr>
  </w:style>
  <w:style w:type="character" w:customStyle="1" w:styleId="13">
    <w:name w:val="font151"/>
    <w:basedOn w:val="7"/>
    <w:uiPriority w:val="0"/>
    <w:rPr>
      <w:rFonts w:hint="default" w:ascii="Times New Roman" w:hAnsi="Times New Roman" w:cs="Times New Roman"/>
      <w:color w:val="000000"/>
      <w:sz w:val="20"/>
      <w:szCs w:val="20"/>
      <w:u w:val="none"/>
      <w:vertAlign w:val="superscript"/>
    </w:rPr>
  </w:style>
  <w:style w:type="character" w:customStyle="1" w:styleId="14">
    <w:name w:val="font141"/>
    <w:basedOn w:val="7"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5">
    <w:name w:val="font121"/>
    <w:basedOn w:val="7"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6">
    <w:name w:val="font11"/>
    <w:basedOn w:val="7"/>
    <w:uiPriority w:val="0"/>
    <w:rPr>
      <w:rFonts w:hint="default" w:ascii="仿宋_GB2312" w:eastAsia="仿宋_GB2312" w:cs="仿宋_GB2312"/>
      <w:color w:val="000000"/>
      <w:sz w:val="20"/>
      <w:szCs w:val="20"/>
      <w:u w:val="none"/>
    </w:rPr>
  </w:style>
  <w:style w:type="character" w:customStyle="1" w:styleId="17">
    <w:name w:val="font41"/>
    <w:basedOn w:val="7"/>
    <w:uiPriority w:val="0"/>
    <w:rPr>
      <w:rFonts w:hint="default" w:ascii="仿宋_GB2312" w:eastAsia="仿宋_GB2312" w:cs="仿宋_GB2312"/>
      <w:b/>
      <w:color w:val="000000"/>
      <w:sz w:val="20"/>
      <w:szCs w:val="20"/>
      <w:u w:val="none"/>
    </w:rPr>
  </w:style>
  <w:style w:type="character" w:customStyle="1" w:styleId="18">
    <w:name w:val="font81"/>
    <w:basedOn w:val="7"/>
    <w:uiPriority w:val="0"/>
    <w:rPr>
      <w:rFonts w:hint="default" w:ascii="仿宋_GB2312" w:eastAsia="仿宋_GB2312" w:cs="仿宋_GB2312"/>
      <w:color w:val="000000"/>
      <w:sz w:val="20"/>
      <w:szCs w:val="20"/>
      <w:u w:val="none"/>
    </w:rPr>
  </w:style>
  <w:style w:type="character" w:customStyle="1" w:styleId="19">
    <w:name w:val="font101"/>
    <w:basedOn w:val="7"/>
    <w:uiPriority w:val="0"/>
    <w:rPr>
      <w:rFonts w:hint="default" w:ascii="仿宋_GB2312" w:eastAsia="仿宋_GB2312" w:cs="仿宋_GB2312"/>
      <w:color w:val="000000"/>
      <w:sz w:val="20"/>
      <w:szCs w:val="20"/>
      <w:u w:val="none"/>
    </w:rPr>
  </w:style>
  <w:style w:type="character" w:customStyle="1" w:styleId="20">
    <w:name w:val="font51"/>
    <w:basedOn w:val="7"/>
    <w:uiPriority w:val="0"/>
    <w:rPr>
      <w:rFonts w:ascii="仿宋_GB2312" w:eastAsia="仿宋_GB2312" w:cs="仿宋_GB2312"/>
      <w:b/>
      <w:color w:val="000000"/>
      <w:sz w:val="20"/>
      <w:szCs w:val="20"/>
      <w:u w:val="none"/>
    </w:rPr>
  </w:style>
  <w:style w:type="character" w:customStyle="1" w:styleId="21">
    <w:name w:val="font12"/>
    <w:basedOn w:val="7"/>
    <w:uiPriority w:val="0"/>
    <w:rPr>
      <w:rFonts w:hint="default" w:ascii="仿宋_GB2312" w:eastAsia="仿宋_GB2312" w:cs="仿宋_GB2312"/>
      <w:b/>
      <w:color w:val="000000"/>
      <w:sz w:val="20"/>
      <w:szCs w:val="20"/>
      <w:u w:val="none"/>
    </w:rPr>
  </w:style>
  <w:style w:type="character" w:customStyle="1" w:styleId="22">
    <w:name w:val="font131"/>
    <w:basedOn w:val="7"/>
    <w:uiPriority w:val="0"/>
    <w:rPr>
      <w:rFonts w:ascii="等线" w:hAnsi="等线" w:eastAsia="等线" w:cs="等线"/>
      <w:color w:val="000000"/>
      <w:sz w:val="18"/>
      <w:szCs w:val="18"/>
      <w:u w:val="none"/>
    </w:rPr>
  </w:style>
  <w:style w:type="character" w:customStyle="1" w:styleId="23">
    <w:name w:val="font71"/>
    <w:basedOn w:val="7"/>
    <w:uiPriority w:val="0"/>
    <w:rPr>
      <w:rFonts w:hint="default" w:ascii="仿宋_GB2312" w:eastAsia="仿宋_GB2312" w:cs="仿宋_GB2312"/>
      <w:color w:val="000000"/>
      <w:sz w:val="20"/>
      <w:szCs w:val="20"/>
      <w:u w:val="none"/>
    </w:rPr>
  </w:style>
  <w:style w:type="character" w:customStyle="1" w:styleId="24">
    <w:name w:val="font91"/>
    <w:basedOn w:val="7"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25">
    <w:name w:val="font111"/>
    <w:basedOn w:val="7"/>
    <w:uiPriority w:val="0"/>
    <w:rPr>
      <w:rFonts w:ascii="仿宋_GB2312" w:eastAsia="仿宋_GB2312" w:cs="仿宋_GB2312"/>
      <w:b/>
      <w:color w:val="000000"/>
      <w:sz w:val="20"/>
      <w:szCs w:val="20"/>
      <w:u w:val="none"/>
    </w:rPr>
  </w:style>
  <w:style w:type="character" w:customStyle="1" w:styleId="26">
    <w:name w:val="font61"/>
    <w:basedOn w:val="7"/>
    <w:uiPriority w:val="0"/>
    <w:rPr>
      <w:rFonts w:hint="default" w:ascii="仿宋_GB2312" w:eastAsia="仿宋_GB2312" w:cs="仿宋_GB2312"/>
      <w:b/>
      <w:color w:val="000000"/>
      <w:sz w:val="20"/>
      <w:szCs w:val="20"/>
      <w:u w:val="none"/>
    </w:rPr>
  </w:style>
  <w:style w:type="character" w:customStyle="1" w:styleId="27">
    <w:name w:val="页眉 Char"/>
    <w:basedOn w:val="7"/>
    <w:link w:val="5"/>
    <w:uiPriority w:val="0"/>
    <w:rPr>
      <w:rFonts w:ascii="Calibri" w:hAnsi="Calibri"/>
      <w:kern w:val="2"/>
      <w:sz w:val="18"/>
      <w:szCs w:val="18"/>
    </w:rPr>
  </w:style>
  <w:style w:type="character" w:customStyle="1" w:styleId="28">
    <w:name w:val="font01"/>
    <w:basedOn w:val="7"/>
    <w:uiPriority w:val="0"/>
    <w:rPr>
      <w:rFonts w:hint="default" w:ascii="Times New Roman" w:hAnsi="Times New Roman" w:cs="Times New Roman"/>
      <w:color w:val="000000"/>
      <w:sz w:val="20"/>
      <w:szCs w:val="20"/>
      <w:u w:val="none"/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513</Words>
  <Characters>2928</Characters>
  <Lines>24</Lines>
  <Paragraphs>6</Paragraphs>
  <TotalTime>27</TotalTime>
  <ScaleCrop>false</ScaleCrop>
  <LinksUpToDate>false</LinksUpToDate>
  <CharactersWithSpaces>3435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2018-07-24T03:05:00Z</dcterms:created>
  <dc:creator>Kax</dc:creator>
  <cp:lastModifiedBy>严茂森</cp:lastModifiedBy>
  <cp:lastPrinted>2020-08-19T06:21:44Z</cp:lastPrinted>
  <dcterms:modified xsi:type="dcterms:W3CDTF">2020-09-27T01:44:32Z</dcterms:modified>
  <dc:title>上海市农业委员会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