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tabs>
          <w:tab w:val="right" w:pos="8364"/>
        </w:tabs>
        <w:adjustRightInd w:val="0"/>
        <w:snapToGrid w:val="0"/>
        <w:spacing w:before="65" w:beforeLines="20"/>
      </w:pPr>
      <w:bookmarkStart w:id="1" w:name="_GoBack"/>
      <w:bookmarkEnd w:id="1"/>
      <w:r>
        <w:rPr>
          <w:rFonts w:hint="eastAsia"/>
          <w:color w:val="FF0000"/>
        </w:rPr>
        <w:t>提案内容：</w:t>
      </w:r>
    </w:p>
    <w:p>
      <w:pPr>
        <w:spacing w:before="65"/>
        <w:jc w:val="center"/>
        <w:rPr>
          <w:rFonts w:ascii="黑体" w:hAnsi="黑体" w:eastAsia="黑体"/>
          <w:b/>
          <w:sz w:val="44"/>
          <w:szCs w:val="44"/>
        </w:rPr>
      </w:pPr>
      <w:bookmarkStart w:id="0" w:name="casetitle2"/>
      <w:r>
        <w:rPr>
          <w:rFonts w:ascii="黑体" w:hAnsi="黑体" w:eastAsia="黑体"/>
          <w:b/>
          <w:sz w:val="44"/>
          <w:szCs w:val="44"/>
        </w:rPr>
        <w:t>关于加速推进上海各区 “动物生物安全二级实验室”备案政策落地的建议</w:t>
      </w:r>
      <w:bookmarkEnd w:id="0"/>
    </w:p>
    <w:p>
      <w:pPr>
        <w:spacing w:before="65"/>
        <w:jc w:val="center"/>
        <w:rPr>
          <w:rFonts w:ascii="黑体" w:hAnsi="黑体" w:eastAsia="黑体"/>
          <w:b/>
          <w:sz w:val="44"/>
          <w:szCs w:val="44"/>
        </w:rPr>
      </w:pPr>
    </w:p>
    <w:p>
      <w:pPr>
        <w:tabs>
          <w:tab w:val="right" w:pos="9332"/>
        </w:tabs>
        <w:spacing w:before="65" w:beforeLines="20"/>
        <w:rPr>
          <w:b/>
          <w:color w:val="FF0000"/>
          <w:sz w:val="36"/>
          <w:szCs w:val="36"/>
        </w:rPr>
      </w:pPr>
    </w:p>
    <w:p>
      <w:pPr>
        <w:pStyle w:val="15"/>
        <w:rPr>
          <w:rStyle w:val="7"/>
          <w:rFonts w:ascii="Calibri" w:hAnsi="Calibri" w:eastAsia="宋体" w:cs="Times New Roman"/>
        </w:rPr>
      </w:pPr>
      <w:r>
        <w:rPr>
          <w:rStyle w:val="7"/>
          <w:rFonts w:ascii="宋体" w:hAnsi="宋体" w:eastAsia="宋体" w:cs="宋体"/>
          <w:b/>
          <w:color w:val="FF0000"/>
          <w:sz w:val="36"/>
        </w:rPr>
        <w:t>※背景情况※</w:t>
      </w:r>
    </w:p>
    <w:p>
      <w:pPr>
        <w:pStyle w:val="15"/>
        <w:keepNext w:val="0"/>
        <w:keepLines w:val="0"/>
        <w:pageBreakBefore w:val="0"/>
        <w:widowControl w:val="0"/>
        <w:kinsoku/>
        <w:wordWrap/>
        <w:overflowPunct/>
        <w:topLinePunct w:val="0"/>
        <w:autoSpaceDE/>
        <w:autoSpaceDN/>
        <w:bidi w:val="0"/>
        <w:adjustRightInd/>
        <w:snapToGrid/>
        <w:ind w:firstLine="640" w:firstLineChars="200"/>
        <w:textAlignment w:val="auto"/>
        <w:rPr>
          <w:rStyle w:val="7"/>
          <w:rFonts w:hint="eastAsia" w:ascii="仿宋_GB2312" w:hAnsi="仿宋_GB2312" w:eastAsia="仿宋_GB2312" w:cs="仿宋_GB2312"/>
          <w:sz w:val="32"/>
          <w:szCs w:val="32"/>
        </w:rPr>
      </w:pPr>
      <w:r>
        <w:rPr>
          <w:rStyle w:val="7"/>
          <w:rFonts w:hint="eastAsia" w:ascii="仿宋_GB2312" w:hAnsi="仿宋_GB2312" w:eastAsia="仿宋_GB2312" w:cs="仿宋_GB2312"/>
          <w:sz w:val="32"/>
          <w:szCs w:val="32"/>
        </w:rPr>
        <w:t>上海是我国乃至全球最具生物医药创新能力的城市之一，上海生物医药产业也是“十四五”期间党中央赋予上海打造世界级产业集群重要使命的三大先导产业之一。从趋势看，生物医药产业的战略意义将在疫后进一步凸显。</w:t>
      </w:r>
    </w:p>
    <w:p>
      <w:pPr>
        <w:pStyle w:val="15"/>
        <w:keepNext w:val="0"/>
        <w:keepLines w:val="0"/>
        <w:pageBreakBefore w:val="0"/>
        <w:widowControl w:val="0"/>
        <w:kinsoku/>
        <w:wordWrap/>
        <w:overflowPunct/>
        <w:topLinePunct w:val="0"/>
        <w:autoSpaceDE/>
        <w:autoSpaceDN/>
        <w:bidi w:val="0"/>
        <w:adjustRightInd/>
        <w:snapToGrid/>
        <w:ind w:firstLine="640" w:firstLineChars="200"/>
        <w:textAlignment w:val="auto"/>
        <w:rPr>
          <w:rStyle w:val="7"/>
          <w:rFonts w:hint="eastAsia" w:ascii="仿宋_GB2312" w:hAnsi="仿宋_GB2312" w:eastAsia="仿宋_GB2312" w:cs="仿宋_GB2312"/>
          <w:sz w:val="32"/>
          <w:szCs w:val="32"/>
        </w:rPr>
      </w:pPr>
      <w:r>
        <w:rPr>
          <w:rStyle w:val="7"/>
          <w:rFonts w:hint="eastAsia" w:ascii="仿宋_GB2312" w:hAnsi="仿宋_GB2312" w:eastAsia="仿宋_GB2312" w:cs="仿宋_GB2312"/>
          <w:sz w:val="32"/>
          <w:szCs w:val="32"/>
        </w:rPr>
        <w:t>自2020年初以来新冠疫情肆虐全球，各国均加大了对传染性病原体的研究，纷纷加速建设本国的生物安全实验室。上海的生物安全二级实验室（下简称BSL-2）也爆发式增长，但在生物医药产业研发阶段开展感染性科研项目使用率最高的动物生物安全二级实验室（下简称ABSL-2）确未有增加。</w:t>
      </w:r>
    </w:p>
    <w:p>
      <w:pPr>
        <w:pStyle w:val="15"/>
        <w:keepNext w:val="0"/>
        <w:keepLines w:val="0"/>
        <w:pageBreakBefore w:val="0"/>
        <w:widowControl w:val="0"/>
        <w:kinsoku/>
        <w:wordWrap/>
        <w:overflowPunct/>
        <w:topLinePunct w:val="0"/>
        <w:autoSpaceDE/>
        <w:autoSpaceDN/>
        <w:bidi w:val="0"/>
        <w:adjustRightInd/>
        <w:snapToGrid/>
        <w:ind w:firstLine="640" w:firstLineChars="200"/>
        <w:textAlignment w:val="auto"/>
        <w:rPr>
          <w:rStyle w:val="7"/>
          <w:rFonts w:hint="eastAsia" w:ascii="仿宋_GB2312" w:hAnsi="仿宋_GB2312" w:eastAsia="仿宋_GB2312" w:cs="仿宋_GB2312"/>
          <w:sz w:val="32"/>
          <w:szCs w:val="32"/>
        </w:rPr>
      </w:pPr>
      <w:r>
        <w:rPr>
          <w:rStyle w:val="7"/>
          <w:rFonts w:hint="eastAsia" w:ascii="仿宋_GB2312" w:hAnsi="仿宋_GB2312" w:eastAsia="仿宋_GB2312" w:cs="仿宋_GB2312"/>
          <w:sz w:val="32"/>
          <w:szCs w:val="32"/>
        </w:rPr>
        <w:t>在后新冠时代，随着中国社会面的全面放开，预估出现大面积感染和出现大量重症，需要进行治疗药物的战略储备，在未来几年会有大量的感染相关项目需要在ABSL-2条件下开展，特别是针对呼吸系统疾病的。我们现在就应该做好应对，让整个备案流程程序化、规范化、便捷化、高效化。</w:t>
      </w:r>
    </w:p>
    <w:p>
      <w:pPr>
        <w:pStyle w:val="15"/>
        <w:rPr>
          <w:rStyle w:val="7"/>
          <w:rFonts w:ascii="Calibri" w:hAnsi="Calibri" w:eastAsia="宋体" w:cs="Times New Roman"/>
        </w:rPr>
      </w:pPr>
      <w:r>
        <w:rPr>
          <w:rStyle w:val="7"/>
          <w:rFonts w:ascii="宋体" w:hAnsi="宋体" w:eastAsia="宋体" w:cs="宋体"/>
          <w:b/>
          <w:color w:val="FF0000"/>
          <w:sz w:val="36"/>
        </w:rPr>
        <w:t>――――――――――――――――――――――</w:t>
      </w:r>
    </w:p>
    <w:p>
      <w:pPr>
        <w:pStyle w:val="15"/>
        <w:rPr>
          <w:rStyle w:val="7"/>
          <w:rFonts w:ascii="Calibri" w:hAnsi="Calibri" w:eastAsia="宋体" w:cs="Times New Roman"/>
        </w:rPr>
      </w:pPr>
      <w:r>
        <w:rPr>
          <w:rStyle w:val="7"/>
          <w:rFonts w:ascii="宋体" w:hAnsi="宋体" w:eastAsia="宋体" w:cs="宋体"/>
          <w:b/>
          <w:color w:val="FF0000"/>
          <w:sz w:val="36"/>
        </w:rPr>
        <w:t>※问题及分析※</w:t>
      </w:r>
    </w:p>
    <w:p>
      <w:pPr>
        <w:pStyle w:val="15"/>
        <w:keepNext w:val="0"/>
        <w:keepLines w:val="0"/>
        <w:pageBreakBefore w:val="0"/>
        <w:widowControl w:val="0"/>
        <w:kinsoku/>
        <w:wordWrap/>
        <w:overflowPunct/>
        <w:topLinePunct w:val="0"/>
        <w:autoSpaceDE/>
        <w:autoSpaceDN/>
        <w:bidi w:val="0"/>
        <w:adjustRightInd/>
        <w:snapToGrid/>
        <w:ind w:firstLine="640" w:firstLineChars="200"/>
        <w:textAlignment w:val="auto"/>
        <w:rPr>
          <w:rStyle w:val="7"/>
          <w:rFonts w:hint="eastAsia" w:ascii="仿宋_GB2312" w:hAnsi="仿宋_GB2312" w:eastAsia="仿宋_GB2312" w:cs="仿宋_GB2312"/>
          <w:sz w:val="32"/>
          <w:szCs w:val="32"/>
        </w:rPr>
      </w:pPr>
      <w:r>
        <w:rPr>
          <w:rStyle w:val="7"/>
          <w:rFonts w:hint="eastAsia" w:ascii="仿宋_GB2312" w:hAnsi="仿宋_GB2312" w:eastAsia="仿宋_GB2312" w:cs="仿宋_GB2312"/>
          <w:sz w:val="32"/>
          <w:szCs w:val="32"/>
        </w:rPr>
        <w:t>上海存在的短板和不足</w:t>
      </w:r>
    </w:p>
    <w:p>
      <w:pPr>
        <w:pStyle w:val="15"/>
        <w:keepNext w:val="0"/>
        <w:keepLines w:val="0"/>
        <w:pageBreakBefore w:val="0"/>
        <w:widowControl w:val="0"/>
        <w:kinsoku/>
        <w:wordWrap/>
        <w:overflowPunct/>
        <w:topLinePunct w:val="0"/>
        <w:autoSpaceDE/>
        <w:autoSpaceDN/>
        <w:bidi w:val="0"/>
        <w:adjustRightInd/>
        <w:snapToGrid/>
        <w:ind w:firstLine="640" w:firstLineChars="200"/>
        <w:textAlignment w:val="auto"/>
        <w:rPr>
          <w:rStyle w:val="7"/>
          <w:rFonts w:hint="eastAsia" w:ascii="仿宋_GB2312" w:hAnsi="仿宋_GB2312" w:eastAsia="仿宋_GB2312" w:cs="仿宋_GB2312"/>
          <w:sz w:val="32"/>
          <w:szCs w:val="32"/>
        </w:rPr>
      </w:pPr>
      <w:r>
        <w:rPr>
          <w:rStyle w:val="7"/>
          <w:rFonts w:hint="eastAsia" w:ascii="仿宋_GB2312" w:hAnsi="仿宋_GB2312" w:eastAsia="仿宋_GB2312" w:cs="仿宋_GB2312"/>
          <w:sz w:val="32"/>
          <w:szCs w:val="32"/>
        </w:rPr>
        <w:t>全国多地已有很成熟的“ABSL-2实验室”备案政策且执行多年，中国超一线城市北、上、广、深中仅有上海的相关政策还未落地，在市政协十三届五次会议第1158号提案正式提交前，上海还没有一个通过备案的“ABSL-2实验室”，远远落后国内多个甚至二、三线城市。</w:t>
      </w:r>
    </w:p>
    <w:p>
      <w:pPr>
        <w:pStyle w:val="15"/>
        <w:keepNext w:val="0"/>
        <w:keepLines w:val="0"/>
        <w:pageBreakBefore w:val="0"/>
        <w:widowControl w:val="0"/>
        <w:kinsoku/>
        <w:wordWrap/>
        <w:overflowPunct/>
        <w:topLinePunct w:val="0"/>
        <w:autoSpaceDE/>
        <w:autoSpaceDN/>
        <w:bidi w:val="0"/>
        <w:adjustRightInd/>
        <w:snapToGrid/>
        <w:ind w:firstLine="640" w:firstLineChars="200"/>
        <w:textAlignment w:val="auto"/>
        <w:rPr>
          <w:rStyle w:val="7"/>
          <w:rFonts w:hint="eastAsia" w:ascii="仿宋_GB2312" w:hAnsi="仿宋_GB2312" w:eastAsia="仿宋_GB2312" w:cs="仿宋_GB2312"/>
          <w:sz w:val="32"/>
          <w:szCs w:val="32"/>
        </w:rPr>
      </w:pPr>
      <w:r>
        <w:rPr>
          <w:rStyle w:val="7"/>
          <w:rFonts w:hint="eastAsia" w:ascii="仿宋_GB2312" w:hAnsi="仿宋_GB2312" w:eastAsia="仿宋_GB2312" w:cs="仿宋_GB2312"/>
          <w:sz w:val="32"/>
          <w:szCs w:val="32"/>
        </w:rPr>
        <w:t>2022年前，上海申请ABSL-2实验室备案申请时，卫健委只负责人源微生物用在人身上的，农委只负责动物源性的微生物用在动物身上的，没有明确的主责部门，导致上海的ABSL-2实备案申请出现了三不管现象。</w:t>
      </w:r>
    </w:p>
    <w:p>
      <w:pPr>
        <w:pStyle w:val="15"/>
        <w:keepNext w:val="0"/>
        <w:keepLines w:val="0"/>
        <w:pageBreakBefore w:val="0"/>
        <w:widowControl w:val="0"/>
        <w:kinsoku/>
        <w:wordWrap/>
        <w:overflowPunct/>
        <w:topLinePunct w:val="0"/>
        <w:autoSpaceDE/>
        <w:autoSpaceDN/>
        <w:bidi w:val="0"/>
        <w:adjustRightInd/>
        <w:snapToGrid/>
        <w:ind w:firstLine="640" w:firstLineChars="200"/>
        <w:textAlignment w:val="auto"/>
        <w:rPr>
          <w:rStyle w:val="7"/>
          <w:rFonts w:hint="eastAsia" w:ascii="仿宋_GB2312" w:hAnsi="仿宋_GB2312" w:eastAsia="仿宋_GB2312" w:cs="仿宋_GB2312"/>
          <w:sz w:val="32"/>
          <w:szCs w:val="32"/>
        </w:rPr>
      </w:pPr>
      <w:r>
        <w:rPr>
          <w:rStyle w:val="7"/>
          <w:rFonts w:hint="eastAsia" w:ascii="仿宋_GB2312" w:hAnsi="仿宋_GB2312" w:eastAsia="仿宋_GB2312" w:cs="仿宋_GB2312"/>
          <w:sz w:val="32"/>
          <w:szCs w:val="32"/>
        </w:rPr>
        <w:t>在2022年1月的《上海市浦东新区促进张江生物医药产业高地建设规定》(附件1)，2022年3月《关于向各区科技部门下放实验动物生产和使用许可事项相关权限的通知》（附件2）中均表达了要加快上海各区“ABSL-2验室”备案政策的落地。2022年4月1日起，针对“一、二级病原微生物实验室”行业综合许可证相关办件，市科委向其他各区科技部门下放实验动物生产和使用许可事项的受理、发证两个环节的权限。</w:t>
      </w:r>
    </w:p>
    <w:p>
      <w:pPr>
        <w:pStyle w:val="15"/>
        <w:keepNext w:val="0"/>
        <w:keepLines w:val="0"/>
        <w:pageBreakBefore w:val="0"/>
        <w:widowControl w:val="0"/>
        <w:kinsoku/>
        <w:wordWrap/>
        <w:overflowPunct/>
        <w:topLinePunct w:val="0"/>
        <w:autoSpaceDE/>
        <w:autoSpaceDN/>
        <w:bidi w:val="0"/>
        <w:adjustRightInd/>
        <w:snapToGrid/>
        <w:ind w:firstLine="640" w:firstLineChars="200"/>
        <w:textAlignment w:val="auto"/>
        <w:rPr>
          <w:rStyle w:val="7"/>
          <w:rFonts w:hint="eastAsia" w:ascii="仿宋_GB2312" w:hAnsi="仿宋_GB2312" w:eastAsia="仿宋_GB2312" w:cs="仿宋_GB2312"/>
          <w:sz w:val="32"/>
          <w:szCs w:val="32"/>
        </w:rPr>
      </w:pPr>
      <w:r>
        <w:rPr>
          <w:rStyle w:val="7"/>
          <w:rFonts w:hint="eastAsia" w:ascii="仿宋_GB2312" w:hAnsi="仿宋_GB2312" w:eastAsia="仿宋_GB2312" w:cs="仿宋_GB2312"/>
          <w:sz w:val="32"/>
          <w:szCs w:val="32"/>
        </w:rPr>
        <w:t>在上述规定出台后，企业在实际办理过程中仍然存在向哪个监管部门申请不明确。即企业按照指南规定想卫健委递交“ABSL-2实验室”备案申请是，卫健委答复没有接受到上级部门通知，暂不进行受理。也就是说规定没有很好的实施，分工仍不明确，监管链条存在交叉或缺失、相互推诿，无人问津。</w:t>
      </w:r>
    </w:p>
    <w:p>
      <w:pPr>
        <w:pStyle w:val="15"/>
        <w:keepNext w:val="0"/>
        <w:keepLines w:val="0"/>
        <w:pageBreakBefore w:val="0"/>
        <w:widowControl w:val="0"/>
        <w:kinsoku/>
        <w:wordWrap/>
        <w:overflowPunct/>
        <w:topLinePunct w:val="0"/>
        <w:autoSpaceDE/>
        <w:autoSpaceDN/>
        <w:bidi w:val="0"/>
        <w:adjustRightInd/>
        <w:snapToGrid/>
        <w:ind w:firstLine="640" w:firstLineChars="200"/>
        <w:textAlignment w:val="auto"/>
        <w:rPr>
          <w:rStyle w:val="7"/>
          <w:rFonts w:hint="eastAsia" w:ascii="仿宋_GB2312" w:hAnsi="仿宋_GB2312" w:eastAsia="仿宋_GB2312" w:cs="仿宋_GB2312"/>
          <w:sz w:val="32"/>
          <w:szCs w:val="32"/>
        </w:rPr>
      </w:pPr>
      <w:r>
        <w:rPr>
          <w:rStyle w:val="7"/>
          <w:rFonts w:hint="eastAsia" w:ascii="仿宋_GB2312" w:hAnsi="仿宋_GB2312" w:eastAsia="仿宋_GB2312" w:cs="仿宋_GB2312"/>
          <w:sz w:val="32"/>
          <w:szCs w:val="32"/>
        </w:rPr>
        <w:t>2022年9月26日，我们第一次提出了加速推进上海各区ABSL-2实验室备案政策落地的议案，经组织协调，得到了农委会的答复（附件3）。他们认为ABSL-2实验室在哪个部门备案，取决于病原微生物属于人间传染的，还是动物间传染的，不能简单的以是否饲养动物来判定，更不宜单独拿出来区别对待。</w:t>
      </w:r>
    </w:p>
    <w:p>
      <w:pPr>
        <w:pStyle w:val="15"/>
        <w:keepNext w:val="0"/>
        <w:keepLines w:val="0"/>
        <w:pageBreakBefore w:val="0"/>
        <w:widowControl w:val="0"/>
        <w:kinsoku/>
        <w:wordWrap/>
        <w:overflowPunct/>
        <w:topLinePunct w:val="0"/>
        <w:autoSpaceDE/>
        <w:autoSpaceDN/>
        <w:bidi w:val="0"/>
        <w:adjustRightInd/>
        <w:snapToGrid/>
        <w:ind w:firstLine="640" w:firstLineChars="200"/>
        <w:textAlignment w:val="auto"/>
        <w:rPr>
          <w:rStyle w:val="7"/>
          <w:rFonts w:hint="eastAsia" w:ascii="仿宋_GB2312" w:hAnsi="仿宋_GB2312" w:eastAsia="仿宋_GB2312" w:cs="仿宋_GB2312"/>
          <w:sz w:val="32"/>
          <w:szCs w:val="32"/>
        </w:rPr>
      </w:pPr>
      <w:r>
        <w:rPr>
          <w:rStyle w:val="7"/>
          <w:rFonts w:hint="eastAsia" w:ascii="仿宋_GB2312" w:hAnsi="仿宋_GB2312" w:eastAsia="仿宋_GB2312" w:cs="仿宋_GB2312"/>
          <w:sz w:val="32"/>
          <w:szCs w:val="32"/>
        </w:rPr>
        <w:t>根据习近平总书记推行的在地方先行先试的国家战略，上海市浦东新区进行了认真的贯彻执行，在2022年11月29日，由上海市浦东新区农业农村委员会签发了上海市的第一张ABSL-2备案凭证。（附件4）</w:t>
      </w:r>
    </w:p>
    <w:p>
      <w:pPr>
        <w:pStyle w:val="15"/>
        <w:rPr>
          <w:rStyle w:val="7"/>
          <w:rFonts w:ascii="Calibri" w:hAnsi="Calibri" w:eastAsia="宋体" w:cs="Times New Roman"/>
        </w:rPr>
      </w:pPr>
      <w:r>
        <w:rPr>
          <w:rStyle w:val="7"/>
          <w:rFonts w:ascii="宋体" w:hAnsi="宋体" w:eastAsia="宋体" w:cs="宋体"/>
          <w:b/>
          <w:color w:val="FF0000"/>
          <w:sz w:val="36"/>
        </w:rPr>
        <w:t>――――――――――――――――――――――</w:t>
      </w:r>
    </w:p>
    <w:p>
      <w:pPr>
        <w:pStyle w:val="15"/>
        <w:rPr>
          <w:rStyle w:val="7"/>
          <w:rFonts w:ascii="Calibri" w:hAnsi="Calibri" w:eastAsia="宋体" w:cs="Times New Roman"/>
        </w:rPr>
      </w:pPr>
      <w:r>
        <w:rPr>
          <w:rStyle w:val="7"/>
          <w:rFonts w:ascii="宋体" w:hAnsi="宋体" w:eastAsia="宋体" w:cs="宋体"/>
          <w:b/>
          <w:color w:val="FF0000"/>
          <w:sz w:val="36"/>
        </w:rPr>
        <w:t>※建议※</w:t>
      </w:r>
    </w:p>
    <w:p>
      <w:pPr>
        <w:pStyle w:val="15"/>
        <w:keepNext w:val="0"/>
        <w:keepLines w:val="0"/>
        <w:pageBreakBefore w:val="0"/>
        <w:widowControl w:val="0"/>
        <w:kinsoku/>
        <w:wordWrap/>
        <w:overflowPunct/>
        <w:topLinePunct w:val="0"/>
        <w:autoSpaceDE/>
        <w:autoSpaceDN/>
        <w:bidi w:val="0"/>
        <w:adjustRightInd/>
        <w:snapToGrid/>
        <w:ind w:firstLine="640" w:firstLineChars="200"/>
        <w:textAlignment w:val="auto"/>
        <w:rPr>
          <w:rStyle w:val="7"/>
          <w:rFonts w:hint="eastAsia" w:ascii="仿宋_GB2312" w:hAnsi="仿宋_GB2312" w:eastAsia="仿宋_GB2312" w:cs="仿宋_GB2312"/>
          <w:sz w:val="32"/>
          <w:szCs w:val="32"/>
        </w:rPr>
      </w:pPr>
      <w:r>
        <w:rPr>
          <w:rStyle w:val="7"/>
          <w:rFonts w:hint="eastAsia" w:ascii="仿宋_GB2312" w:hAnsi="仿宋_GB2312" w:eastAsia="仿宋_GB2312" w:cs="仿宋_GB2312"/>
          <w:sz w:val="32"/>
          <w:szCs w:val="32"/>
        </w:rPr>
        <w:t>鉴于上述情况，为了加速推进上海各区“ABSL-2实验室”备案政策的落地，我们提出如下建议：</w:t>
      </w:r>
    </w:p>
    <w:p>
      <w:pPr>
        <w:pStyle w:val="15"/>
        <w:keepNext w:val="0"/>
        <w:keepLines w:val="0"/>
        <w:pageBreakBefore w:val="0"/>
        <w:widowControl w:val="0"/>
        <w:kinsoku/>
        <w:wordWrap/>
        <w:overflowPunct/>
        <w:topLinePunct w:val="0"/>
        <w:autoSpaceDE/>
        <w:autoSpaceDN/>
        <w:bidi w:val="0"/>
        <w:adjustRightInd/>
        <w:snapToGrid/>
        <w:ind w:firstLine="643" w:firstLineChars="200"/>
        <w:textAlignment w:val="auto"/>
        <w:rPr>
          <w:rStyle w:val="7"/>
          <w:rFonts w:hint="eastAsia" w:ascii="仿宋_GB2312" w:hAnsi="仿宋_GB2312" w:eastAsia="仿宋_GB2312" w:cs="仿宋_GB2312"/>
          <w:sz w:val="32"/>
          <w:szCs w:val="32"/>
        </w:rPr>
      </w:pPr>
      <w:r>
        <w:rPr>
          <w:rStyle w:val="7"/>
          <w:rFonts w:hint="eastAsia" w:ascii="楷体_GB2312" w:hAnsi="楷体_GB2312" w:eastAsia="楷体_GB2312" w:cs="楷体_GB2312"/>
          <w:b/>
          <w:bCs/>
          <w:sz w:val="32"/>
          <w:szCs w:val="32"/>
          <w:lang w:val="en-US" w:eastAsia="zh-CN"/>
        </w:rPr>
        <w:t>1、</w:t>
      </w:r>
      <w:r>
        <w:rPr>
          <w:rStyle w:val="7"/>
          <w:rFonts w:hint="eastAsia" w:ascii="楷体_GB2312" w:hAnsi="楷体_GB2312" w:eastAsia="楷体_GB2312" w:cs="楷体_GB2312"/>
          <w:b/>
          <w:bCs/>
          <w:sz w:val="32"/>
          <w:szCs w:val="32"/>
        </w:rPr>
        <w:t>各区参照浦东新区的做法。</w:t>
      </w:r>
      <w:r>
        <w:rPr>
          <w:rStyle w:val="7"/>
          <w:rFonts w:hint="eastAsia" w:ascii="仿宋_GB2312" w:hAnsi="仿宋_GB2312" w:eastAsia="仿宋_GB2312" w:cs="仿宋_GB2312"/>
          <w:sz w:val="32"/>
          <w:szCs w:val="32"/>
        </w:rPr>
        <w:t>确定各区的农业农村委员会作为主责部门，各区的卫生和健康委员会作为次要责任部门。进一步强化协调与配合。明确分工负责和统一协调相结合的机制，督促各部门之间及时通报信息，实现信息资源的共享。</w:t>
      </w:r>
    </w:p>
    <w:p>
      <w:pPr>
        <w:pStyle w:val="15"/>
        <w:keepNext w:val="0"/>
        <w:keepLines w:val="0"/>
        <w:pageBreakBefore w:val="0"/>
        <w:widowControl w:val="0"/>
        <w:kinsoku/>
        <w:wordWrap/>
        <w:overflowPunct/>
        <w:topLinePunct w:val="0"/>
        <w:autoSpaceDE/>
        <w:autoSpaceDN/>
        <w:bidi w:val="0"/>
        <w:adjustRightInd/>
        <w:snapToGrid/>
        <w:ind w:firstLine="643" w:firstLineChars="200"/>
        <w:textAlignment w:val="auto"/>
        <w:rPr>
          <w:rStyle w:val="7"/>
          <w:rFonts w:hint="eastAsia" w:ascii="仿宋_GB2312" w:hAnsi="仿宋_GB2312" w:eastAsia="仿宋_GB2312" w:cs="仿宋_GB2312"/>
          <w:sz w:val="32"/>
          <w:szCs w:val="32"/>
        </w:rPr>
      </w:pPr>
      <w:r>
        <w:rPr>
          <w:rStyle w:val="7"/>
          <w:rFonts w:hint="eastAsia" w:ascii="楷体_GB2312" w:hAnsi="楷体_GB2312" w:eastAsia="楷体_GB2312" w:cs="楷体_GB2312"/>
          <w:b/>
          <w:bCs/>
          <w:sz w:val="32"/>
          <w:szCs w:val="32"/>
          <w:lang w:val="en-US" w:eastAsia="zh-CN"/>
        </w:rPr>
        <w:t>2、</w:t>
      </w:r>
      <w:r>
        <w:rPr>
          <w:rStyle w:val="7"/>
          <w:rFonts w:hint="eastAsia" w:ascii="楷体_GB2312" w:hAnsi="楷体_GB2312" w:eastAsia="楷体_GB2312" w:cs="楷体_GB2312"/>
          <w:b/>
          <w:bCs/>
          <w:sz w:val="32"/>
          <w:szCs w:val="32"/>
        </w:rPr>
        <w:t>明确责任部门办理备案工作的周期时长，优化办理流程，避免冗长的手续增财政的支出，把有限的人力财力用在刀刃上。</w:t>
      </w:r>
      <w:r>
        <w:rPr>
          <w:rStyle w:val="7"/>
          <w:rFonts w:hint="eastAsia" w:ascii="仿宋_GB2312" w:hAnsi="仿宋_GB2312" w:eastAsia="仿宋_GB2312" w:cs="仿宋_GB2312"/>
          <w:sz w:val="32"/>
          <w:szCs w:val="32"/>
        </w:rPr>
        <w:t>出台清晰的办理流程指南，致力于让企业能一站式、一次性的把手续办齐、办好。</w:t>
      </w:r>
    </w:p>
    <w:p>
      <w:pPr>
        <w:pStyle w:val="15"/>
        <w:keepNext w:val="0"/>
        <w:keepLines w:val="0"/>
        <w:pageBreakBefore w:val="0"/>
        <w:widowControl w:val="0"/>
        <w:kinsoku/>
        <w:wordWrap/>
        <w:overflowPunct/>
        <w:topLinePunct w:val="0"/>
        <w:autoSpaceDE/>
        <w:autoSpaceDN/>
        <w:bidi w:val="0"/>
        <w:adjustRightInd/>
        <w:snapToGrid/>
        <w:ind w:firstLine="643" w:firstLineChars="200"/>
        <w:textAlignment w:val="auto"/>
        <w:rPr>
          <w:rStyle w:val="7"/>
          <w:rFonts w:ascii="Calibri" w:hAnsi="Calibri" w:eastAsia="宋体" w:cs="Times New Roman"/>
        </w:rPr>
      </w:pPr>
      <w:r>
        <w:rPr>
          <w:rStyle w:val="7"/>
          <w:rFonts w:hint="eastAsia" w:ascii="楷体_GB2312" w:hAnsi="楷体_GB2312" w:eastAsia="楷体_GB2312" w:cs="楷体_GB2312"/>
          <w:b/>
          <w:bCs/>
          <w:sz w:val="32"/>
          <w:szCs w:val="32"/>
          <w:lang w:val="en-US" w:eastAsia="zh-CN"/>
        </w:rPr>
        <w:t>3、</w:t>
      </w:r>
      <w:r>
        <w:rPr>
          <w:rStyle w:val="7"/>
          <w:rFonts w:hint="eastAsia" w:ascii="楷体_GB2312" w:hAnsi="楷体_GB2312" w:eastAsia="楷体_GB2312" w:cs="楷体_GB2312"/>
          <w:b/>
          <w:bCs/>
          <w:sz w:val="32"/>
          <w:szCs w:val="32"/>
        </w:rPr>
        <w:t>建议财政增加投入，增加必要的人手。</w:t>
      </w:r>
      <w:r>
        <w:rPr>
          <w:rStyle w:val="7"/>
          <w:rFonts w:hint="eastAsia" w:ascii="仿宋_GB2312" w:hAnsi="仿宋_GB2312" w:eastAsia="仿宋_GB2312" w:cs="仿宋_GB2312"/>
          <w:sz w:val="32"/>
          <w:szCs w:val="32"/>
        </w:rPr>
        <w:t>在明确主管部门同时，组织成立行业协会，推动对ABSL-2实验室从业人员的教育与培训，设立准入门槛，进行合理监管。在监管之下，有规则有条件地引入企业本身自主监测，针对性地对其培训，提高从业人员的业务水平、专业能力和职业素养。</w:t>
      </w:r>
    </w:p>
    <w:sectPr>
      <w:headerReference r:id="rId3" w:type="default"/>
      <w:footerReference r:id="rId4" w:type="default"/>
      <w:pgSz w:w="11906" w:h="16838"/>
      <w:pgMar w:top="1440" w:right="1800" w:bottom="1440" w:left="1800" w:header="851" w:footer="992" w:gutter="0"/>
      <w:cols w:space="425" w:num="1"/>
      <w:docGrid w:type="lines" w:linePitch="326"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Arial">
    <w:panose1 w:val="020B0604020202020204"/>
    <w:charset w:val="00"/>
    <w:family w:val="swiss"/>
    <w:pitch w:val="default"/>
    <w:sig w:usb0="E0002AFF" w:usb1="C0007843" w:usb2="00000009" w:usb3="00000000" w:csb0="400001FF" w:csb1="FFFF0000"/>
  </w:font>
  <w:font w:name="Webdings">
    <w:panose1 w:val="05030102010509060703"/>
    <w:charset w:val="02"/>
    <w:family w:val="roman"/>
    <w:pitch w:val="default"/>
    <w:sig w:usb0="00000000" w:usb1="00000000" w:usb2="00000000" w:usb3="00000000" w:csb0="80000000" w:csb1="00000000"/>
  </w:font>
  <w:font w:name="仿宋_GB2312">
    <w:panose1 w:val="02010609030101010101"/>
    <w:charset w:val="86"/>
    <w:family w:val="auto"/>
    <w:pitch w:val="default"/>
    <w:sig w:usb0="00000001" w:usb1="080E0000" w:usb2="00000000" w:usb3="00000000" w:csb0="00040000" w:csb1="00000000"/>
  </w:font>
  <w:font w:name="楷体_GB2312">
    <w:altName w:val="楷体"/>
    <w:panose1 w:val="02010609030101010101"/>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jc w:val="center"/>
      <w:rPr>
        <w:sz w:val="28"/>
        <w:szCs w:val="28"/>
        <w:lang w:eastAsia="zh-CN"/>
      </w:rPr>
    </w:pPr>
    <w:r>
      <w:rPr>
        <w:rFonts w:hint="eastAsia"/>
        <w:sz w:val="28"/>
        <w:szCs w:val="28"/>
        <w:lang w:eastAsia="zh-CN"/>
      </w:rPr>
      <w:t>第</w:t>
    </w:r>
    <w:r>
      <w:rPr>
        <w:b/>
        <w:sz w:val="28"/>
        <w:szCs w:val="28"/>
      </w:rPr>
      <w:fldChar w:fldCharType="begin"/>
    </w:r>
    <w:r>
      <w:rPr>
        <w:b/>
        <w:sz w:val="28"/>
        <w:szCs w:val="28"/>
      </w:rPr>
      <w:instrText xml:space="preserve">PAGE</w:instrText>
    </w:r>
    <w:r>
      <w:rPr>
        <w:b/>
        <w:sz w:val="28"/>
        <w:szCs w:val="28"/>
      </w:rPr>
      <w:fldChar w:fldCharType="separate"/>
    </w:r>
    <w:r>
      <w:rPr>
        <w:b/>
        <w:sz w:val="28"/>
        <w:szCs w:val="28"/>
      </w:rPr>
      <w:t>2</w:t>
    </w:r>
    <w:r>
      <w:rPr>
        <w:b/>
        <w:sz w:val="28"/>
        <w:szCs w:val="28"/>
      </w:rPr>
      <w:fldChar w:fldCharType="end"/>
    </w:r>
    <w:r>
      <w:rPr>
        <w:rFonts w:hint="eastAsia"/>
        <w:b/>
        <w:sz w:val="28"/>
        <w:szCs w:val="28"/>
        <w:lang w:eastAsia="zh-CN"/>
      </w:rPr>
      <w:t>页</w:t>
    </w:r>
    <w:r>
      <w:rPr>
        <w:sz w:val="28"/>
        <w:szCs w:val="28"/>
        <w:lang w:val="zh-CN"/>
      </w:rPr>
      <w:t xml:space="preserve"> / </w:t>
    </w:r>
    <w:r>
      <w:rPr>
        <w:rFonts w:hint="eastAsia"/>
        <w:sz w:val="28"/>
        <w:szCs w:val="28"/>
        <w:lang w:val="zh-CN" w:eastAsia="zh-CN"/>
      </w:rPr>
      <w:t>共</w:t>
    </w:r>
    <w:r>
      <w:rPr>
        <w:b/>
        <w:sz w:val="28"/>
        <w:szCs w:val="28"/>
      </w:rPr>
      <w:fldChar w:fldCharType="begin"/>
    </w:r>
    <w:r>
      <w:rPr>
        <w:b/>
        <w:sz w:val="28"/>
        <w:szCs w:val="28"/>
      </w:rPr>
      <w:instrText xml:space="preserve">NUMPAGES</w:instrText>
    </w:r>
    <w:r>
      <w:rPr>
        <w:b/>
        <w:sz w:val="28"/>
        <w:szCs w:val="28"/>
      </w:rPr>
      <w:fldChar w:fldCharType="separate"/>
    </w:r>
    <w:r>
      <w:rPr>
        <w:b/>
        <w:sz w:val="28"/>
        <w:szCs w:val="28"/>
      </w:rPr>
      <w:t>2</w:t>
    </w:r>
    <w:r>
      <w:rPr>
        <w:b/>
        <w:sz w:val="28"/>
        <w:szCs w:val="28"/>
      </w:rPr>
      <w:fldChar w:fldCharType="end"/>
    </w:r>
    <w:r>
      <w:rPr>
        <w:rFonts w:hint="eastAsia"/>
        <w:sz w:val="28"/>
        <w:szCs w:val="28"/>
        <w:lang w:eastAsia="zh-CN"/>
      </w:rPr>
      <w:t>页</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Bdr>
        <w:bottom w:val="none" w:color="auto" w:sz="0" w:space="0"/>
      </w:pBdr>
      <w:spacing w:before="48"/>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40"/>
  <w:doNotDisplayPageBoundaries w:val="1"/>
  <w:bordersDoNotSurroundHeader w:val="1"/>
  <w:bordersDoNotSurroundFooter w:val="1"/>
  <w:documentProtection w:enforcement="0"/>
  <w:defaultTabStop w:val="420"/>
  <w:drawingGridHorizontalSpacing w:val="120"/>
  <w:drawingGridVerticalSpacing w:val="163"/>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YzNiNmU3ODBhNjNmMzM1ZWY3YmI4MzliOTY3NGMxNzMifQ=="/>
  </w:docVars>
  <w:rsids>
    <w:rsidRoot w:val="00000000"/>
    <w:rsid w:val="40E0384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nhideWhenUsed="0" w:uiPriority="99" w:semiHidden="0"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nhideWhenUsed="0" w:uiPriority="99" w:semiHidden="0" w:name="Table Subtle 1"/>
    <w:lsdException w:uiPriority="99" w:name="Table Subtle 2"/>
    <w:lsdException w:uiPriority="99" w:name="Table Web 1"/>
    <w:lsdException w:unhideWhenUsed="0" w:uiPriority="99" w:semiHidden="0" w:name="Table Web 2"/>
    <w:lsdException w:unhideWhenUsed="0" w:uiPriority="99" w:semiHidden="0" w:name="Table Web 3"/>
    <w:lsdException w:uiPriority="99"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rPr>
      <w:rFonts w:ascii="宋体" w:hAnsi="宋体" w:eastAsia="宋体" w:cs="宋体"/>
      <w:sz w:val="24"/>
      <w:szCs w:val="24"/>
      <w:lang w:val="en-US" w:eastAsia="zh-CN" w:bidi="ar-SA"/>
    </w:rPr>
  </w:style>
  <w:style w:type="character" w:default="1" w:styleId="7">
    <w:name w:val="Default Paragraph Font"/>
    <w:semiHidden/>
    <w:unhideWhenUsed/>
    <w:qFormat/>
    <w:uiPriority w:val="1"/>
  </w:style>
  <w:style w:type="table" w:default="1" w:styleId="5">
    <w:name w:val="Normal Table"/>
    <w:semiHidden/>
    <w:unhideWhenUsed/>
    <w:uiPriority w:val="99"/>
    <w:tblPr>
      <w:tblCellMar>
        <w:top w:w="0" w:type="dxa"/>
        <w:left w:w="108" w:type="dxa"/>
        <w:bottom w:w="0" w:type="dxa"/>
        <w:right w:w="108" w:type="dxa"/>
      </w:tblCellMar>
    </w:tblPr>
  </w:style>
  <w:style w:type="paragraph" w:styleId="2">
    <w:name w:val="footer"/>
    <w:basedOn w:val="1"/>
    <w:link w:val="14"/>
    <w:unhideWhenUsed/>
    <w:uiPriority w:val="99"/>
    <w:pPr>
      <w:tabs>
        <w:tab w:val="center" w:pos="4153"/>
        <w:tab w:val="right" w:pos="8306"/>
      </w:tabs>
      <w:snapToGrid w:val="0"/>
    </w:pPr>
    <w:rPr>
      <w:rFonts w:cs="Times New Roman"/>
      <w:sz w:val="18"/>
      <w:szCs w:val="18"/>
    </w:rPr>
  </w:style>
  <w:style w:type="paragraph" w:styleId="3">
    <w:name w:val="header"/>
    <w:basedOn w:val="1"/>
    <w:link w:val="13"/>
    <w:unhideWhenUsed/>
    <w:qFormat/>
    <w:uiPriority w:val="99"/>
    <w:pPr>
      <w:pBdr>
        <w:bottom w:val="single" w:color="auto" w:sz="6" w:space="1"/>
      </w:pBdr>
      <w:tabs>
        <w:tab w:val="center" w:pos="4153"/>
        <w:tab w:val="right" w:pos="8306"/>
      </w:tabs>
      <w:snapToGrid w:val="0"/>
      <w:jc w:val="center"/>
    </w:pPr>
    <w:rPr>
      <w:rFonts w:cs="Times New Roman"/>
      <w:sz w:val="18"/>
      <w:szCs w:val="18"/>
    </w:rPr>
  </w:style>
  <w:style w:type="paragraph" w:styleId="4">
    <w:name w:val="Normal (Web)"/>
    <w:basedOn w:val="1"/>
    <w:unhideWhenUsed/>
    <w:qFormat/>
    <w:uiPriority w:val="99"/>
    <w:pPr>
      <w:spacing w:before="100" w:beforeAutospacing="1" w:after="100" w:afterAutospacing="1"/>
    </w:pPr>
  </w:style>
  <w:style w:type="table" w:styleId="6">
    <w:name w:val="Table Grid"/>
    <w:basedOn w:val="5"/>
    <w:qFormat/>
    <w:uiPriority w:val="0"/>
    <w:pPr>
      <w:widowControl w:val="0"/>
      <w:jc w:val="both"/>
    </w:pPr>
    <w:rPr>
      <w:rFonts w:ascii="Times New Roman" w:hAnsi="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8">
    <w:name w:val="Strong"/>
    <w:qFormat/>
    <w:uiPriority w:val="22"/>
    <w:rPr>
      <w:b/>
      <w:bCs/>
    </w:rPr>
  </w:style>
  <w:style w:type="paragraph" w:customStyle="1" w:styleId="9">
    <w:name w:val="HTML Top of Form"/>
    <w:basedOn w:val="1"/>
    <w:next w:val="1"/>
    <w:link w:val="10"/>
    <w:semiHidden/>
    <w:unhideWhenUsed/>
    <w:qFormat/>
    <w:uiPriority w:val="99"/>
    <w:pPr>
      <w:pBdr>
        <w:bottom w:val="single" w:color="auto" w:sz="6" w:space="1"/>
      </w:pBdr>
      <w:jc w:val="center"/>
    </w:pPr>
    <w:rPr>
      <w:rFonts w:ascii="Arial" w:hAnsi="Arial" w:cs="Times New Roman"/>
      <w:vanish/>
      <w:sz w:val="16"/>
      <w:szCs w:val="16"/>
    </w:rPr>
  </w:style>
  <w:style w:type="character" w:customStyle="1" w:styleId="10">
    <w:name w:val="z-窗体顶端 字符"/>
    <w:link w:val="9"/>
    <w:semiHidden/>
    <w:qFormat/>
    <w:uiPriority w:val="99"/>
    <w:rPr>
      <w:rFonts w:ascii="Arial" w:hAnsi="Arial" w:eastAsia="宋体" w:cs="Arial"/>
      <w:vanish/>
      <w:kern w:val="0"/>
      <w:sz w:val="16"/>
      <w:szCs w:val="16"/>
    </w:rPr>
  </w:style>
  <w:style w:type="paragraph" w:customStyle="1" w:styleId="11">
    <w:name w:val="HTML Bottom of Form"/>
    <w:basedOn w:val="1"/>
    <w:next w:val="1"/>
    <w:link w:val="12"/>
    <w:semiHidden/>
    <w:unhideWhenUsed/>
    <w:qFormat/>
    <w:uiPriority w:val="99"/>
    <w:pPr>
      <w:pBdr>
        <w:top w:val="single" w:color="auto" w:sz="6" w:space="1"/>
      </w:pBdr>
      <w:jc w:val="center"/>
    </w:pPr>
    <w:rPr>
      <w:rFonts w:ascii="Arial" w:hAnsi="Arial" w:cs="Times New Roman"/>
      <w:vanish/>
      <w:sz w:val="16"/>
      <w:szCs w:val="16"/>
    </w:rPr>
  </w:style>
  <w:style w:type="character" w:customStyle="1" w:styleId="12">
    <w:name w:val="z-窗体底端 字符"/>
    <w:link w:val="11"/>
    <w:semiHidden/>
    <w:qFormat/>
    <w:uiPriority w:val="99"/>
    <w:rPr>
      <w:rFonts w:ascii="Arial" w:hAnsi="Arial" w:eastAsia="宋体" w:cs="Arial"/>
      <w:vanish/>
      <w:kern w:val="0"/>
      <w:sz w:val="16"/>
      <w:szCs w:val="16"/>
    </w:rPr>
  </w:style>
  <w:style w:type="character" w:customStyle="1" w:styleId="13">
    <w:name w:val="页眉 字符"/>
    <w:link w:val="3"/>
    <w:uiPriority w:val="99"/>
    <w:rPr>
      <w:rFonts w:ascii="宋体" w:hAnsi="宋体" w:cs="宋体"/>
      <w:sz w:val="18"/>
      <w:szCs w:val="18"/>
    </w:rPr>
  </w:style>
  <w:style w:type="character" w:customStyle="1" w:styleId="14">
    <w:name w:val="页脚 字符"/>
    <w:link w:val="2"/>
    <w:qFormat/>
    <w:uiPriority w:val="99"/>
    <w:rPr>
      <w:rFonts w:ascii="宋体" w:hAnsi="宋体" w:cs="宋体"/>
      <w:sz w:val="18"/>
      <w:szCs w:val="18"/>
    </w:rPr>
  </w:style>
  <w:style w:type="paragraph" w:customStyle="1" w:styleId="15">
    <w:name w:val="Normal_0"/>
    <w:qFormat/>
    <w:uiPriority w:val="0"/>
    <w:pPr>
      <w:widowControl w:val="0"/>
      <w:jc w:val="both"/>
    </w:pPr>
    <w:rPr>
      <w:rFonts w:ascii="Calibri" w:hAnsi="Calibri" w:eastAsia="宋体" w:cs="Times New Roman"/>
      <w:sz w:val="21"/>
      <w:szCs w:val="22"/>
      <w:lang w:val="en-US" w:eastAsia="zh-CN" w:bidi="ar-SA"/>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Company>Microsoft</Company>
  <Pages>5</Pages>
  <Words>1951</Words>
  <Characters>2182</Characters>
  <Lines>5</Lines>
  <Paragraphs>1</Paragraphs>
  <TotalTime>2</TotalTime>
  <ScaleCrop>false</ScaleCrop>
  <LinksUpToDate>false</LinksUpToDate>
  <CharactersWithSpaces>2301</CharactersWithSpaces>
  <Application>WPS Office_11.1.0.13703_F1E327BC-269C-435d-A152-05C5408002CA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2021-04-01T05:39:00Z</dcterms:created>
  <dc:creator>2</dc:creator>
  <cp:lastModifiedBy>yms</cp:lastModifiedBy>
  <dcterms:modified xsi:type="dcterms:W3CDTF">2023-06-05T01:48:12Z</dcterms:modified>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2052-11.1.0.13703</vt:lpwstr>
  </property>
  <property fmtid="{D5CDD505-2E9C-101B-9397-08002B2CF9AE}" pid="3" name="ICV">
    <vt:lpwstr>EEA61E979D8C4625BFF8EC964C4A6E02</vt:lpwstr>
  </property>
</Properties>
</file>