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5B7A23">
      <w:pPr>
        <w:tabs>
          <w:tab w:val="right" w:pos="8364"/>
        </w:tabs>
        <w:adjustRightInd w:val="0"/>
        <w:snapToGrid w:val="0"/>
        <w:spacing w:before="65" w:beforeLines="20"/>
        <w:rPr>
          <w:color w:val="FF0000"/>
        </w:rPr>
      </w:pPr>
      <w:r>
        <w:rPr>
          <w:rFonts w:hint="eastAsia"/>
          <w:color w:val="FF0000"/>
        </w:rPr>
        <w:t>提案内容：</w:t>
      </w:r>
    </w:p>
    <w:p w14:paraId="2B1F7600"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  <w:bookmarkStart w:id="0" w:name="casetitle2"/>
      <w:r>
        <w:rPr>
          <w:rFonts w:ascii="黑体" w:hAnsi="黑体" w:eastAsia="黑体"/>
          <w:b/>
          <w:sz w:val="44"/>
          <w:szCs w:val="44"/>
        </w:rPr>
        <w:t>关于水绿融合加强上海湿地建设的提案</w:t>
      </w:r>
      <w:bookmarkEnd w:id="0"/>
    </w:p>
    <w:p w14:paraId="383163FF"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  <w:bookmarkStart w:id="1" w:name="_GoBack"/>
      <w:bookmarkEnd w:id="1"/>
    </w:p>
    <w:p w14:paraId="413DECA9">
      <w:pPr>
        <w:spacing w:before="65"/>
        <w:rPr>
          <w:rFonts w:ascii="黑体" w:hAnsi="黑体" w:eastAsia="黑体"/>
          <w:b/>
          <w:sz w:val="44"/>
          <w:szCs w:val="44"/>
        </w:rPr>
      </w:pPr>
    </w:p>
    <w:p w14:paraId="4B597E91">
      <w:pPr>
        <w:pStyle w:val="16"/>
        <w:rPr>
          <w:rStyle w:val="7"/>
          <w:rFonts w:asciiTheme="minorHAnsi" w:hAnsiTheme="minorHAnsi" w:eastAsiaTheme="minorEastAsia" w:cstheme="minorBidi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※背景情况※</w:t>
      </w:r>
    </w:p>
    <w:p w14:paraId="64A8A847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近年来，上海经历几轮大规模水环境治理，上海市林水复合、水绿融合生态空间得以改善，但水绿空间资源紧张、水陆交错生态系统脆弱、水质不稳定、技术规范局限性等问题和短板依然存在。水清岸绿是城乡居民的普遍诉求。在塑造超大城市空间新格局、大力推进五个新城绿环建设背景下，亟需树立系统治理理念，提升湿地生态系统稳定性，逐步实现上海2035城市总规核心指标下的一张蓝图绘制和水绿一体化建设，让市民因美丽河湖而幸福。</w:t>
      </w:r>
    </w:p>
    <w:p w14:paraId="4491B521">
      <w:pPr>
        <w:pStyle w:val="16"/>
        <w:rPr>
          <w:rStyle w:val="7"/>
          <w:rFonts w:asciiTheme="minorHAnsi" w:hAnsiTheme="minorHAnsi" w:eastAsiaTheme="minorEastAsia" w:cstheme="minorBidi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 w14:paraId="3D877D47">
      <w:pPr>
        <w:pStyle w:val="16"/>
        <w:rPr>
          <w:rStyle w:val="7"/>
          <w:rFonts w:asciiTheme="minorHAnsi" w:hAnsiTheme="minorHAnsi" w:eastAsiaTheme="minorEastAsia" w:cstheme="minorBidi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※问题及分析※</w:t>
      </w:r>
    </w:p>
    <w:p w14:paraId="5CEF66E9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1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水绿融合系统治理理念和思路有待转变和拓展。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滨水空间治理目标亟需从水环境改善转变为水生态系统修复；治理方式要从单条河段整治转变为集中连片治理。由于国土空间管制以及土地政策限制，水绿指标在城市规划体系中以线为界彼此分明。目前上海河湖水面率约10.3%，森林覆盖率18.8%，要达到2035年23%的目标，河道水系整治和廊道林带建设融合有待加强。</w:t>
      </w:r>
    </w:p>
    <w:p w14:paraId="29A91658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2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部分林水复合生态系统不稳定，存在养护难点。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一是部分河道水体浑浊。由于上海处于长江河口平原河网地区，上游来水泥沙含量较大，城市污染物和废弃物等进入河道，使水体浑浊或营养物质浓度升高。如杨浦区北部的虬江，雨水中常含大量杂质，遇上炎热天气极易发黑发臭。二是水动力不足，河道因施工阻隔或者断头河，或因长江河口咸潮入侵导致水体封闭，水动力不足导致河道生态功能和自净能力下降。这类河流在上海较为常见，如闵行区的北竹港近20米、松江区的恬润河近100米的“盲肠”河道，存在简单护岸硬质化，水质反复受影响。三是复合生态系统不稳定。全市村级河道代表断面优Ⅲ类水质断面占比69%，如何进一步控制垃圾入河、农田生产废弃物入河、季节性水质污染，增加水陆界面生态系统稳定性，是村沟宅河的养护难点。</w:t>
      </w:r>
    </w:p>
    <w:p w14:paraId="60B58AA1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3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部分岸坡种绿空间不足，需科学精细化补绿增绿。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一是科技支撑有待加强。河道整治河口线内的林地最优处理方式，以及保留林地后的最优过水断面，在河道两岸斜坡增绿的树种、树间距、适宜耐淹水深等方面，均需加强技术支撑。目前全市河道总面积577平方公里，滨水绿化率还有很大提升空间。二是水绿融合政策支撑不足，需进一步明确水面率和森林覆盖率等考核指标，土地性质的认定与水绿融合项目执法标准认定等政策与规范，解决水利和绿化行业技术规范局限性和壁垒。</w:t>
      </w:r>
    </w:p>
    <w:p w14:paraId="69FBB83E">
      <w:pPr>
        <w:pStyle w:val="16"/>
        <w:rPr>
          <w:rStyle w:val="7"/>
          <w:rFonts w:asciiTheme="minorHAnsi" w:hAnsiTheme="minorHAnsi" w:eastAsiaTheme="minorEastAsia" w:cstheme="minorBidi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 w14:paraId="015EEBF3">
      <w:pPr>
        <w:pStyle w:val="16"/>
        <w:rPr>
          <w:rStyle w:val="7"/>
          <w:rFonts w:asciiTheme="minorHAnsi" w:hAnsiTheme="minorHAnsi" w:eastAsiaTheme="minorEastAsia" w:cstheme="minorBidi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※建议※</w:t>
      </w:r>
    </w:p>
    <w:p w14:paraId="2053D686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1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理念转变引领，促进上海湿地空间保护、发展和提升。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一是围绕生态之城建设目标，在水系统修复治理、乡村振兴、绿化林地建设、农田农村发展中一体化推进河道治理和绿化，强化自然要素统筹融合。二是构建河岸生态湿地。建设河道生态缓冲区等，形成水陆复合型生物共生湿地生态系统，起到拦截净化雨水中污染物质的作用，增强水体自净能力。三是开放更多滨水空间。配置亲水平台、景观廊架、慢行步道等亲水设施，营造功能复合的滨水公共空间，突出城市河道对城市功能的整体作用。</w:t>
      </w:r>
    </w:p>
    <w:p w14:paraId="0DE76928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2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发挥河道生态廊道功能，加强生态清洁小流域建设。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一是树立清洁小流域建设的系统治理思维，统筹水网、绿网、路网和管网，打通小流域范围内的各类水体，联通各条河道的整个水系，强化水体交换和自净能力。二是水岸同治，加强水土保护，防控水土流失。城区强化建设海绵城市功能，农村地区则需要通过建设生态型高标准农田、自然生态型河道等方式，构建沿河生态缓冲带，减少泥沙入河量。</w:t>
      </w:r>
    </w:p>
    <w:p w14:paraId="5AF618C2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3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多要素融合，坚持“水滩岸路绿”五位一体综合施策。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一是生态修复，通过植被恢复、小微湿地建设等方式，建设生态缓冲池、石笼、过滤带、生态护坡等方式，帮助域内水体构建健康完整的生态链，一体化推进全域水生态治理工作。二是适当利用水生植物，充分发挥乡土水生植物如浮叶植物、挺水植物和沉水植物的作用，逐步恢复水生态系统结构和功能的完整性。</w:t>
      </w:r>
    </w:p>
    <w:p w14:paraId="052678C8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4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优化林相结构，拓展开放共享的林水复合生态空间。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一是突破“就水治水”旧思路，依托现有重点湿地生态廊道资源，提升已建新城公园、郊野公园的内涵功能，促进林地、水域、田地等生态空间组合，提升生态品质和效益。二是营造林水复合湿地，形成一批满足居民休闲游憩需求、具有沪派水乡特点的生态空间，以高品质、多功能的公园带动周边区域发展，助推上海湿地生态产品价值实现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ebdings">
    <w:panose1 w:val="05030102010509060703"/>
    <w:charset w:val="02"/>
    <w:family w:val="roman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7DCF9A">
    <w:pPr>
      <w:pStyle w:val="2"/>
      <w:jc w:val="center"/>
      <w:rPr>
        <w:sz w:val="28"/>
        <w:szCs w:val="28"/>
      </w:rPr>
    </w:pPr>
    <w:r>
      <w:rPr>
        <w:rFonts w:hint="eastAsia"/>
        <w:sz w:val="28"/>
        <w:szCs w:val="28"/>
      </w:rPr>
      <w:t>第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PAGE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1</w:t>
    </w:r>
    <w:r>
      <w:rPr>
        <w:b/>
        <w:sz w:val="28"/>
        <w:szCs w:val="28"/>
      </w:rPr>
      <w:fldChar w:fldCharType="end"/>
    </w:r>
    <w:r>
      <w:rPr>
        <w:rFonts w:hint="eastAsia"/>
        <w:b/>
        <w:sz w:val="28"/>
        <w:szCs w:val="28"/>
      </w:rPr>
      <w:t>页</w:t>
    </w:r>
    <w:r>
      <w:rPr>
        <w:sz w:val="28"/>
        <w:szCs w:val="28"/>
        <w:lang w:val="zh-CN"/>
      </w:rPr>
      <w:t xml:space="preserve"> / </w:t>
    </w:r>
    <w:r>
      <w:rPr>
        <w:rFonts w:hint="eastAsia"/>
        <w:sz w:val="28"/>
        <w:szCs w:val="28"/>
        <w:lang w:val="zh-CN"/>
      </w:rPr>
      <w:t>共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NUMPAGES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2</w:t>
    </w:r>
    <w:r>
      <w:rPr>
        <w:b/>
        <w:sz w:val="28"/>
        <w:szCs w:val="28"/>
      </w:rPr>
      <w:fldChar w:fldCharType="end"/>
    </w:r>
    <w:r>
      <w:rPr>
        <w:rFonts w:hint="eastAsia"/>
        <w:sz w:val="28"/>
        <w:szCs w:val="28"/>
      </w:rPr>
      <w:t>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79C820">
    <w:pPr>
      <w:pStyle w:val="3"/>
      <w:pBdr>
        <w:bottom w:val="none" w:color="auto" w:sz="0" w:space="0"/>
      </w:pBdr>
      <w:spacing w:before="4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doNotDisplayPageBoundaries w:val="1"/>
  <w:bordersDoNotSurroundHeader w:val="1"/>
  <w:bordersDoNotSurroundFooter w:val="1"/>
  <w:trackRevisions w:val="1"/>
  <w:documentProtection w:enforcement="0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AA176A"/>
    <w:rsid w:val="1EDB74BD"/>
    <w:rsid w:val="4F45CDD0"/>
    <w:rsid w:val="5E7D80ED"/>
    <w:rsid w:val="6FAF78B4"/>
    <w:rsid w:val="77BDFFBF"/>
    <w:rsid w:val="7AF1B4D5"/>
    <w:rsid w:val="7E67A084"/>
    <w:rsid w:val="7FA7166A"/>
    <w:rsid w:val="BFDFBF74"/>
    <w:rsid w:val="BFFFC726"/>
    <w:rsid w:val="EBFFEC12"/>
    <w:rsid w:val="EDFBF40A"/>
    <w:rsid w:val="F6DF5BA5"/>
    <w:rsid w:val="FFF7B52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nhideWhenUsed="0" w:uiPriority="99" w:semiHidden="0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cs="Times New Roman"/>
      <w:sz w:val="18"/>
      <w:szCs w:val="18"/>
    </w:rPr>
  </w:style>
  <w:style w:type="paragraph" w:styleId="3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table" w:styleId="6">
    <w:name w:val="Table Grid"/>
    <w:basedOn w:val="5"/>
    <w:qFormat/>
    <w:uiPriority w:val="0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qFormat/>
    <w:uiPriority w:val="22"/>
    <w:rPr>
      <w:b/>
      <w:bCs/>
    </w:rPr>
  </w:style>
  <w:style w:type="paragraph" w:customStyle="1" w:styleId="9">
    <w:name w:val="z-窗体顶端1"/>
    <w:basedOn w:val="1"/>
    <w:next w:val="1"/>
    <w:link w:val="10"/>
    <w:semiHidden/>
    <w:unhideWhenUsed/>
    <w:qFormat/>
    <w:uiPriority w:val="99"/>
    <w:pPr>
      <w:pBdr>
        <w:bottom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0">
    <w:name w:val="z-窗体顶端 字符"/>
    <w:link w:val="9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1">
    <w:name w:val="z-窗体底端1"/>
    <w:basedOn w:val="1"/>
    <w:next w:val="1"/>
    <w:link w:val="12"/>
    <w:semiHidden/>
    <w:unhideWhenUsed/>
    <w:qFormat/>
    <w:uiPriority w:val="99"/>
    <w:pPr>
      <w:pBdr>
        <w:top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2">
    <w:name w:val="z-窗体底端 字符"/>
    <w:link w:val="11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character" w:customStyle="1" w:styleId="13">
    <w:name w:val="页眉 字符"/>
    <w:link w:val="3"/>
    <w:qFormat/>
    <w:uiPriority w:val="99"/>
    <w:rPr>
      <w:rFonts w:ascii="宋体" w:hAnsi="宋体" w:cs="宋体"/>
      <w:sz w:val="18"/>
      <w:szCs w:val="18"/>
    </w:rPr>
  </w:style>
  <w:style w:type="character" w:customStyle="1" w:styleId="14">
    <w:name w:val="页脚 字符"/>
    <w:link w:val="2"/>
    <w:qFormat/>
    <w:uiPriority w:val="99"/>
    <w:rPr>
      <w:rFonts w:ascii="宋体" w:hAnsi="宋体" w:cs="宋体"/>
      <w:sz w:val="18"/>
      <w:szCs w:val="18"/>
    </w:rPr>
  </w:style>
  <w:style w:type="paragraph" w:customStyle="1" w:styleId="15">
    <w:name w:val="Normal_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  <w:lang w:val="en-US" w:eastAsia="zh-CN" w:bidi="ar-SA"/>
    </w:rPr>
  </w:style>
  <w:style w:type="paragraph" w:customStyle="1" w:styleId="16">
    <w:name w:val="Normal_1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4</Pages>
  <Words>2036</Words>
  <Characters>2117</Characters>
  <Lines>3</Lines>
  <Paragraphs>1</Paragraphs>
  <TotalTime>60</TotalTime>
  <ScaleCrop>false</ScaleCrop>
  <LinksUpToDate>false</LinksUpToDate>
  <CharactersWithSpaces>2207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2021-04-03T21:38:00Z</dcterms:created>
  <dc:creator>2</dc:creator>
  <cp:lastModifiedBy>WPS_1742806582</cp:lastModifiedBy>
  <cp:lastPrinted>2023-12-28T17:02:00Z</cp:lastPrinted>
  <dcterms:modified xsi:type="dcterms:W3CDTF">2025-03-27T01:39:04Z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E3D15859C45D435E8C9E9BBA1930C628</vt:lpwstr>
  </property>
  <property fmtid="{D5CDD505-2E9C-101B-9397-08002B2CF9AE}" pid="3" name="KSOProductBuildVer">
    <vt:lpwstr>2052-12.1.0.20305</vt:lpwstr>
  </property>
  <property fmtid="{D5CDD505-2E9C-101B-9397-08002B2CF9AE}" pid="4" name="KSOTemplateDocerSaveRecord">
    <vt:lpwstr>eyJoZGlkIjoiYzNiNmU3ODBhNjNmMzM1ZWY3YmI4MzliOTY3NGMxNzMiLCJ1c2VySWQiOiIxNjkwMzU1OTI0In0=</vt:lpwstr>
  </property>
</Properties>
</file>