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A007111">
      <w:pPr>
        <w:tabs>
          <w:tab w:val="right" w:pos="8364"/>
        </w:tabs>
        <w:adjustRightInd w:val="0"/>
        <w:snapToGrid w:val="0"/>
        <w:spacing w:before="65" w:beforeLines="20"/>
        <w:rPr>
          <w:color w:val="FF0000"/>
        </w:rPr>
      </w:pPr>
      <w:r>
        <w:rPr>
          <w:rFonts w:hint="eastAsia"/>
          <w:color w:val="FF0000"/>
        </w:rPr>
        <w:t>提案内容：</w:t>
      </w:r>
    </w:p>
    <w:p w14:paraId="2B2352B0">
      <w:pPr>
        <w:spacing w:before="65"/>
        <w:jc w:val="center"/>
        <w:rPr>
          <w:rFonts w:ascii="黑体" w:hAnsi="黑体" w:eastAsia="黑体"/>
          <w:b/>
          <w:sz w:val="44"/>
          <w:szCs w:val="44"/>
        </w:rPr>
      </w:pPr>
      <w:bookmarkStart w:id="0" w:name="casetitle2"/>
      <w:r>
        <w:rPr>
          <w:rFonts w:ascii="黑体" w:hAnsi="黑体" w:eastAsia="黑体"/>
          <w:b/>
          <w:sz w:val="44"/>
          <w:szCs w:val="44"/>
        </w:rPr>
        <w:t>关于持续开展苏州河水体污染源治理，促进“一江一河一带”</w:t>
      </w:r>
      <w:bookmarkStart w:id="1" w:name="_GoBack"/>
      <w:bookmarkEnd w:id="1"/>
      <w:r>
        <w:rPr>
          <w:rFonts w:ascii="黑体" w:hAnsi="黑体" w:eastAsia="黑体"/>
          <w:b/>
          <w:sz w:val="44"/>
          <w:szCs w:val="44"/>
        </w:rPr>
        <w:t>建设的提案</w:t>
      </w:r>
      <w:bookmarkEnd w:id="0"/>
    </w:p>
    <w:p w14:paraId="2B58150B">
      <w:pPr>
        <w:spacing w:before="65"/>
        <w:jc w:val="center"/>
        <w:rPr>
          <w:rFonts w:ascii="黑体" w:hAnsi="黑体" w:eastAsia="黑体"/>
          <w:b/>
          <w:sz w:val="44"/>
          <w:szCs w:val="44"/>
        </w:rPr>
      </w:pPr>
    </w:p>
    <w:p w14:paraId="2BF4F646">
      <w:pPr>
        <w:spacing w:before="65"/>
        <w:rPr>
          <w:rFonts w:ascii="黑体" w:hAnsi="黑体" w:eastAsia="黑体"/>
          <w:b/>
          <w:sz w:val="44"/>
          <w:szCs w:val="44"/>
        </w:rPr>
      </w:pPr>
    </w:p>
    <w:p w14:paraId="55E903F3">
      <w:pPr>
        <w:pStyle w:val="16"/>
        <w:rPr>
          <w:rStyle w:val="7"/>
          <w:rFonts w:ascii="Calibri" w:hAnsi="Calibri" w:eastAsia="宋体" w:cs="Times New Roman"/>
        </w:rPr>
      </w:pPr>
      <w:r>
        <w:rPr>
          <w:rStyle w:val="7"/>
          <w:rFonts w:ascii="宋体" w:hAnsi="宋体" w:eastAsia="宋体" w:cs="宋体"/>
          <w:b/>
          <w:color w:val="FF0000"/>
          <w:sz w:val="36"/>
        </w:rPr>
        <w:t>※背景情况※</w:t>
      </w:r>
    </w:p>
    <w:p w14:paraId="3AC4670D">
      <w:pPr>
        <w:pStyle w:val="16"/>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ascii="Calibri" w:hAnsi="Calibri" w:eastAsia="宋体" w:cs="Times New Roman"/>
        </w:rPr>
      </w:pPr>
      <w:r>
        <w:rPr>
          <w:rStyle w:val="7"/>
          <w:rFonts w:hint="eastAsia" w:ascii="仿宋_GB2312" w:hAnsi="仿宋_GB2312" w:eastAsia="仿宋_GB2312" w:cs="仿宋_GB2312"/>
          <w:sz w:val="32"/>
          <w:szCs w:val="32"/>
        </w:rPr>
        <w:t>上世纪七十年代后期，苏州河在上海市区河段终年黑臭，鱼虾绝迹，成了影响上海城市环境的痛点。自1980年代上海开始治理苏州河，先后开展了四期整治工程，苏州河治理成为上海的“生态一号工程”。1998年，上海制定并发布了《上海市苏州河环境综合整治管理办法》，对整治范围内的水域活动管理、污染物排放管理、市容和环境卫生管理、开发建设管理等作出规定，并为苏州河治理确立了顶层设计和总路线。</w:t>
      </w:r>
    </w:p>
    <w:p w14:paraId="0092DF91">
      <w:pPr>
        <w:pStyle w:val="16"/>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整治后的苏州河河道整洁，水质明显改善，生态逐步恢复。但苏州河水体仍然存在偷排污染物监管不力、雨水（泵站）放江污染、雨污混接改造不彻底等污染源头问题，造成水质不够稳定，水生态系统修复遇到挑战。根据上海市规划资源局公布的黄浦江、苏州河沿岸地区建设规划（2018-2035），苏州河沿岸定位为特大城市宜居生活的典型示范区。继续采取污染源治理措施，保持水质稳定并提升是促进“一江一河一带”建设的必然要求。</w:t>
      </w:r>
    </w:p>
    <w:p w14:paraId="570BBC2F">
      <w:pPr>
        <w:pStyle w:val="16"/>
        <w:rPr>
          <w:rStyle w:val="7"/>
          <w:rFonts w:ascii="Calibri" w:hAnsi="Calibri" w:eastAsia="宋体" w:cs="Times New Roman"/>
        </w:rPr>
      </w:pPr>
      <w:r>
        <w:rPr>
          <w:rStyle w:val="7"/>
          <w:rFonts w:ascii="宋体" w:hAnsi="宋体" w:eastAsia="宋体" w:cs="宋体"/>
          <w:b/>
          <w:color w:val="FF0000"/>
          <w:sz w:val="36"/>
        </w:rPr>
        <w:t>――――――――――――――――――――――</w:t>
      </w:r>
    </w:p>
    <w:p w14:paraId="0D5A2F1E">
      <w:pPr>
        <w:pStyle w:val="16"/>
        <w:rPr>
          <w:rStyle w:val="7"/>
          <w:rFonts w:ascii="Calibri" w:hAnsi="Calibri" w:eastAsia="宋体" w:cs="Times New Roman"/>
        </w:rPr>
      </w:pPr>
      <w:r>
        <w:rPr>
          <w:rStyle w:val="7"/>
          <w:rFonts w:ascii="宋体" w:hAnsi="宋体" w:eastAsia="宋体" w:cs="宋体"/>
          <w:b/>
          <w:color w:val="FF0000"/>
          <w:sz w:val="36"/>
        </w:rPr>
        <w:t>※问题及分析※</w:t>
      </w:r>
    </w:p>
    <w:p w14:paraId="506818E3">
      <w:pPr>
        <w:pStyle w:val="16"/>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楷体_GB2312" w:hAnsi="楷体_GB2312" w:eastAsia="楷体_GB2312" w:cs="楷体_GB2312"/>
          <w:b/>
          <w:bCs/>
          <w:sz w:val="32"/>
          <w:szCs w:val="32"/>
          <w:lang w:eastAsia="zh-CN"/>
        </w:rPr>
      </w:pPr>
      <w:r>
        <w:rPr>
          <w:rStyle w:val="7"/>
          <w:rFonts w:hint="eastAsia" w:ascii="楷体_GB2312" w:hAnsi="楷体_GB2312" w:eastAsia="楷体_GB2312" w:cs="楷体_GB2312"/>
          <w:b/>
          <w:bCs/>
          <w:sz w:val="32"/>
          <w:szCs w:val="32"/>
        </w:rPr>
        <w:t>1</w:t>
      </w:r>
      <w:r>
        <w:rPr>
          <w:rStyle w:val="7"/>
          <w:rFonts w:hint="eastAsia" w:ascii="楷体_GB2312" w:hAnsi="楷体_GB2312" w:eastAsia="楷体_GB2312" w:cs="楷体_GB2312"/>
          <w:b/>
          <w:bCs/>
          <w:sz w:val="32"/>
          <w:szCs w:val="32"/>
          <w:lang w:eastAsia="zh-CN"/>
        </w:rPr>
        <w:t>、</w:t>
      </w:r>
      <w:r>
        <w:rPr>
          <w:rStyle w:val="7"/>
          <w:rFonts w:hint="eastAsia" w:ascii="楷体_GB2312" w:hAnsi="楷体_GB2312" w:eastAsia="楷体_GB2312" w:cs="楷体_GB2312"/>
          <w:b/>
          <w:bCs/>
          <w:sz w:val="32"/>
          <w:szCs w:val="32"/>
        </w:rPr>
        <w:t>对偷排污染物缺乏有效监控</w:t>
      </w:r>
    </w:p>
    <w:p w14:paraId="33B4D47A">
      <w:pPr>
        <w:pStyle w:val="16"/>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难以对全河段实施有效监控，存在随机偷排污染物现象。尽管实施多年的河长制通过巡查、巡河、定期检查、河道监测等减少了偷排现象，但是无法显著遏制。</w:t>
      </w:r>
    </w:p>
    <w:p w14:paraId="354629B4">
      <w:pPr>
        <w:pStyle w:val="16"/>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楷体_GB2312" w:hAnsi="楷体_GB2312" w:eastAsia="楷体_GB2312" w:cs="楷体_GB2312"/>
          <w:b/>
          <w:bCs/>
          <w:sz w:val="32"/>
          <w:szCs w:val="32"/>
        </w:rPr>
      </w:pPr>
      <w:r>
        <w:rPr>
          <w:rStyle w:val="7"/>
          <w:rFonts w:hint="eastAsia" w:ascii="楷体_GB2312" w:hAnsi="楷体_GB2312" w:eastAsia="楷体_GB2312" w:cs="楷体_GB2312"/>
          <w:b/>
          <w:bCs/>
          <w:sz w:val="32"/>
          <w:szCs w:val="32"/>
        </w:rPr>
        <w:t>2</w:t>
      </w:r>
      <w:r>
        <w:rPr>
          <w:rStyle w:val="7"/>
          <w:rFonts w:hint="eastAsia" w:ascii="楷体_GB2312" w:hAnsi="楷体_GB2312" w:eastAsia="楷体_GB2312" w:cs="楷体_GB2312"/>
          <w:b/>
          <w:bCs/>
          <w:sz w:val="32"/>
          <w:szCs w:val="32"/>
          <w:lang w:eastAsia="zh-CN"/>
        </w:rPr>
        <w:t>、</w:t>
      </w:r>
      <w:r>
        <w:rPr>
          <w:rStyle w:val="7"/>
          <w:rFonts w:hint="eastAsia" w:ascii="楷体_GB2312" w:hAnsi="楷体_GB2312" w:eastAsia="楷体_GB2312" w:cs="楷体_GB2312"/>
          <w:b/>
          <w:bCs/>
          <w:sz w:val="32"/>
          <w:szCs w:val="32"/>
        </w:rPr>
        <w:t>立法制裁过于宽松</w:t>
      </w:r>
    </w:p>
    <w:p w14:paraId="690F6CBB">
      <w:pPr>
        <w:pStyle w:val="16"/>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对违法者的行政处罚权限较低，对违法排放行为给予限期治理的机会；缺失惩罚性赔偿等。例如《水污染防治法》第90条规定，“向水体倾倒船舶垃圾或者排放船舶的残油、废油的”行为，其最高罚款额度仅为20万元。违法成本低，难以起到威慑作用。</w:t>
      </w:r>
    </w:p>
    <w:p w14:paraId="73753132">
      <w:pPr>
        <w:pStyle w:val="16"/>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楷体_GB2312" w:hAnsi="楷体_GB2312" w:eastAsia="楷体_GB2312" w:cs="楷体_GB2312"/>
          <w:b/>
          <w:bCs/>
          <w:sz w:val="32"/>
          <w:szCs w:val="32"/>
        </w:rPr>
      </w:pPr>
      <w:r>
        <w:rPr>
          <w:rStyle w:val="7"/>
          <w:rFonts w:hint="eastAsia" w:ascii="楷体_GB2312" w:hAnsi="楷体_GB2312" w:eastAsia="楷体_GB2312" w:cs="楷体_GB2312"/>
          <w:b/>
          <w:bCs/>
          <w:sz w:val="32"/>
          <w:szCs w:val="32"/>
        </w:rPr>
        <w:t>3</w:t>
      </w:r>
      <w:r>
        <w:rPr>
          <w:rStyle w:val="7"/>
          <w:rFonts w:hint="eastAsia" w:ascii="楷体_GB2312" w:hAnsi="楷体_GB2312" w:eastAsia="楷体_GB2312" w:cs="楷体_GB2312"/>
          <w:b/>
          <w:bCs/>
          <w:sz w:val="32"/>
          <w:szCs w:val="32"/>
          <w:lang w:eastAsia="zh-CN"/>
        </w:rPr>
        <w:t>、</w:t>
      </w:r>
      <w:r>
        <w:rPr>
          <w:rStyle w:val="7"/>
          <w:rFonts w:hint="eastAsia" w:ascii="楷体_GB2312" w:hAnsi="楷体_GB2312" w:eastAsia="楷体_GB2312" w:cs="楷体_GB2312"/>
          <w:b/>
          <w:bCs/>
          <w:sz w:val="32"/>
          <w:szCs w:val="32"/>
        </w:rPr>
        <w:t>缺乏预防和应对污染源措施</w:t>
      </w:r>
    </w:p>
    <w:p w14:paraId="77781486">
      <w:pPr>
        <w:pStyle w:val="16"/>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雨水（泵站）放江导致水质瞬间恶化、雨污混接改造不彻底、农业面源污染、船只偶发事故污染等问题仍然存在，对污染源治理措施欠缺。</w:t>
      </w:r>
    </w:p>
    <w:p w14:paraId="02555F0B">
      <w:pPr>
        <w:pStyle w:val="16"/>
        <w:rPr>
          <w:rStyle w:val="7"/>
          <w:rFonts w:ascii="Calibri" w:hAnsi="Calibri" w:eastAsia="宋体" w:cs="Times New Roman"/>
        </w:rPr>
      </w:pPr>
      <w:r>
        <w:rPr>
          <w:rStyle w:val="7"/>
          <w:rFonts w:ascii="宋体" w:hAnsi="宋体" w:eastAsia="宋体" w:cs="宋体"/>
          <w:b/>
          <w:color w:val="FF0000"/>
          <w:sz w:val="36"/>
        </w:rPr>
        <w:t>――――――――――――――――――――――</w:t>
      </w:r>
    </w:p>
    <w:p w14:paraId="31E86AD8">
      <w:pPr>
        <w:pStyle w:val="16"/>
        <w:rPr>
          <w:rStyle w:val="7"/>
          <w:rFonts w:ascii="Calibri" w:hAnsi="Calibri" w:eastAsia="宋体" w:cs="Times New Roman"/>
        </w:rPr>
      </w:pPr>
      <w:r>
        <w:rPr>
          <w:rStyle w:val="7"/>
          <w:rFonts w:ascii="宋体" w:hAnsi="宋体" w:eastAsia="宋体" w:cs="宋体"/>
          <w:b/>
          <w:color w:val="FF0000"/>
          <w:sz w:val="36"/>
        </w:rPr>
        <w:t>※建议※</w:t>
      </w:r>
    </w:p>
    <w:p w14:paraId="32EEDDF2">
      <w:pPr>
        <w:pStyle w:val="16"/>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楷体_GB2312" w:hAnsi="楷体_GB2312" w:eastAsia="楷体_GB2312" w:cs="楷体_GB2312"/>
          <w:b/>
          <w:bCs/>
          <w:sz w:val="32"/>
          <w:szCs w:val="32"/>
        </w:rPr>
      </w:pPr>
      <w:r>
        <w:rPr>
          <w:rStyle w:val="7"/>
          <w:rFonts w:hint="eastAsia" w:ascii="楷体_GB2312" w:hAnsi="楷体_GB2312" w:eastAsia="楷体_GB2312" w:cs="楷体_GB2312"/>
          <w:b/>
          <w:bCs/>
          <w:sz w:val="32"/>
          <w:szCs w:val="32"/>
        </w:rPr>
        <w:t>1</w:t>
      </w:r>
      <w:r>
        <w:rPr>
          <w:rStyle w:val="7"/>
          <w:rFonts w:hint="eastAsia" w:ascii="楷体_GB2312" w:hAnsi="楷体_GB2312" w:eastAsia="楷体_GB2312" w:cs="楷体_GB2312"/>
          <w:b/>
          <w:bCs/>
          <w:sz w:val="32"/>
          <w:szCs w:val="32"/>
          <w:lang w:eastAsia="zh-CN"/>
        </w:rPr>
        <w:t>、</w:t>
      </w:r>
      <w:r>
        <w:rPr>
          <w:rStyle w:val="7"/>
          <w:rFonts w:hint="eastAsia" w:ascii="楷体_GB2312" w:hAnsi="楷体_GB2312" w:eastAsia="楷体_GB2312" w:cs="楷体_GB2312"/>
          <w:b/>
          <w:bCs/>
          <w:sz w:val="32"/>
          <w:szCs w:val="32"/>
        </w:rPr>
        <w:t>提升责任追究力度</w:t>
      </w:r>
    </w:p>
    <w:p w14:paraId="3B43ACDC">
      <w:pPr>
        <w:pStyle w:val="16"/>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在立法层面，修改现行《水法》、《水污染防治法》或地方法规，提升对偷排者的行政处罚和民事责任追究力度，例如提高罚款额度、取消限期治理制度、规定惩罚性赔偿等；或者依据《环境保护法》制定或修改地方法规，对偷排情节或后果严重者给予暂扣许可证、吊销许可证、责令关闭及停产停业、限制开展生产经营活动、限制从业等行政制裁。</w:t>
      </w:r>
    </w:p>
    <w:p w14:paraId="1BF5650A">
      <w:pPr>
        <w:pStyle w:val="16"/>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楷体_GB2312" w:hAnsi="楷体_GB2312" w:eastAsia="楷体_GB2312" w:cs="楷体_GB2312"/>
          <w:b/>
          <w:bCs/>
          <w:sz w:val="32"/>
          <w:szCs w:val="32"/>
        </w:rPr>
      </w:pPr>
      <w:r>
        <w:rPr>
          <w:rStyle w:val="7"/>
          <w:rFonts w:hint="eastAsia" w:ascii="楷体_GB2312" w:hAnsi="楷体_GB2312" w:eastAsia="楷体_GB2312" w:cs="楷体_GB2312"/>
          <w:b/>
          <w:bCs/>
          <w:sz w:val="32"/>
          <w:szCs w:val="32"/>
        </w:rPr>
        <w:t>2</w:t>
      </w:r>
      <w:r>
        <w:rPr>
          <w:rStyle w:val="7"/>
          <w:rFonts w:hint="eastAsia" w:ascii="楷体_GB2312" w:hAnsi="楷体_GB2312" w:eastAsia="楷体_GB2312" w:cs="楷体_GB2312"/>
          <w:b/>
          <w:bCs/>
          <w:sz w:val="32"/>
          <w:szCs w:val="32"/>
          <w:lang w:eastAsia="zh-CN"/>
        </w:rPr>
        <w:t>、</w:t>
      </w:r>
      <w:r>
        <w:rPr>
          <w:rStyle w:val="7"/>
          <w:rFonts w:hint="eastAsia" w:ascii="楷体_GB2312" w:hAnsi="楷体_GB2312" w:eastAsia="楷体_GB2312" w:cs="楷体_GB2312"/>
          <w:b/>
          <w:bCs/>
          <w:sz w:val="32"/>
          <w:szCs w:val="32"/>
        </w:rPr>
        <w:t>将偷排污染物者纳入公共信用管理体系</w:t>
      </w:r>
    </w:p>
    <w:p w14:paraId="71A24420">
      <w:pPr>
        <w:pStyle w:val="16"/>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在执法层面，将各类经营者因偷排污染物的行为受到行政处罚的信息纳入公共信用记录，实施综合信用管理，包括信用信息的归集、共享、公示、应用等，并打通与外省市水务部门的长效沟通机制，对违法者实施跨区域、跨部门联防联控。</w:t>
      </w:r>
    </w:p>
    <w:p w14:paraId="58A6399D">
      <w:pPr>
        <w:pStyle w:val="16"/>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楷体_GB2312" w:hAnsi="楷体_GB2312" w:eastAsia="楷体_GB2312" w:cs="楷体_GB2312"/>
          <w:b/>
          <w:bCs/>
          <w:sz w:val="32"/>
          <w:szCs w:val="32"/>
        </w:rPr>
      </w:pPr>
      <w:r>
        <w:rPr>
          <w:rStyle w:val="7"/>
          <w:rFonts w:hint="eastAsia" w:ascii="楷体_GB2312" w:hAnsi="楷体_GB2312" w:eastAsia="楷体_GB2312" w:cs="楷体_GB2312"/>
          <w:b/>
          <w:bCs/>
          <w:sz w:val="32"/>
          <w:szCs w:val="32"/>
        </w:rPr>
        <w:t>3</w:t>
      </w:r>
      <w:r>
        <w:rPr>
          <w:rStyle w:val="7"/>
          <w:rFonts w:hint="eastAsia" w:ascii="楷体_GB2312" w:hAnsi="楷体_GB2312" w:eastAsia="楷体_GB2312" w:cs="楷体_GB2312"/>
          <w:b/>
          <w:bCs/>
          <w:sz w:val="32"/>
          <w:szCs w:val="32"/>
          <w:lang w:eastAsia="zh-CN"/>
        </w:rPr>
        <w:t>、</w:t>
      </w:r>
      <w:r>
        <w:rPr>
          <w:rStyle w:val="7"/>
          <w:rFonts w:hint="eastAsia" w:ascii="楷体_GB2312" w:hAnsi="楷体_GB2312" w:eastAsia="楷体_GB2312" w:cs="楷体_GB2312"/>
          <w:b/>
          <w:bCs/>
          <w:sz w:val="32"/>
          <w:szCs w:val="32"/>
        </w:rPr>
        <w:t>以社会监督为抓手</w:t>
      </w:r>
    </w:p>
    <w:p w14:paraId="222ADD60">
      <w:pPr>
        <w:pStyle w:val="16"/>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完善以河长责任制为核心的“河长、管理部门、养护企业、社会”四方共同参与的河湖治理保护体系。一方面充分发挥民间志愿者的作用，在各区或各河段设立民间河长或志愿巡河队伍，配合河长制的实施，加强巡河工作，及时发现偷排污染物者；另一方面鼓励社会公众举报偷排者并给予适当奖励。</w:t>
      </w:r>
    </w:p>
    <w:p w14:paraId="32DA5228">
      <w:pPr>
        <w:pStyle w:val="16"/>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楷体_GB2312" w:hAnsi="楷体_GB2312" w:eastAsia="楷体_GB2312" w:cs="楷体_GB2312"/>
          <w:b/>
          <w:bCs/>
          <w:sz w:val="32"/>
          <w:szCs w:val="32"/>
        </w:rPr>
      </w:pPr>
      <w:r>
        <w:rPr>
          <w:rStyle w:val="7"/>
          <w:rFonts w:hint="eastAsia" w:ascii="楷体_GB2312" w:hAnsi="楷体_GB2312" w:eastAsia="楷体_GB2312" w:cs="楷体_GB2312"/>
          <w:b/>
          <w:bCs/>
          <w:sz w:val="32"/>
          <w:szCs w:val="32"/>
        </w:rPr>
        <w:t>4</w:t>
      </w:r>
      <w:r>
        <w:rPr>
          <w:rStyle w:val="7"/>
          <w:rFonts w:hint="eastAsia" w:ascii="楷体_GB2312" w:hAnsi="楷体_GB2312" w:eastAsia="楷体_GB2312" w:cs="楷体_GB2312"/>
          <w:b/>
          <w:bCs/>
          <w:sz w:val="32"/>
          <w:szCs w:val="32"/>
          <w:lang w:eastAsia="zh-CN"/>
        </w:rPr>
        <w:t>、</w:t>
      </w:r>
      <w:r>
        <w:rPr>
          <w:rStyle w:val="7"/>
          <w:rFonts w:hint="eastAsia" w:ascii="楷体_GB2312" w:hAnsi="楷体_GB2312" w:eastAsia="楷体_GB2312" w:cs="楷体_GB2312"/>
          <w:b/>
          <w:bCs/>
          <w:sz w:val="32"/>
          <w:szCs w:val="32"/>
        </w:rPr>
        <w:t>研究制定各项污染源治理措施</w:t>
      </w:r>
    </w:p>
    <w:p w14:paraId="6AF00DA9">
      <w:pPr>
        <w:pStyle w:val="16"/>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对雨水（泵站）放江治理：执法部门全面推进雨污混接普查和整治；强化过程管控，研究推进合流制系统改造；持续开展排水管道检测修复和泵站清淤，加强泵河联动。</w:t>
      </w:r>
    </w:p>
    <w:p w14:paraId="120F6D43">
      <w:pPr>
        <w:pStyle w:val="16"/>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农业面源污染防治：实施种植业生态循环农业工程，鼓励增施有机肥料，降低农田径流污染；实施生态清洁小流域建设。例如推进华漕镇生态清洁小流域建设，提升支河水环境治理水平，减少支河入河污染。</w:t>
      </w:r>
    </w:p>
    <w:p w14:paraId="15E479DB">
      <w:pPr>
        <w:pStyle w:val="16"/>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排污口管理：执法部门开展入河排污口排查整治，非必要禁止新设污水排水口，加强入河排污口和雨水排水口长效管理。</w:t>
      </w:r>
    </w:p>
    <w:p w14:paraId="55FEE08E">
      <w:pPr>
        <w:pStyle w:val="16"/>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船舶污染治理：加强船舶安全监督管理和船舶防污染设施设备情况的监督检查，加快船舶污染物接收能力和船舶污染应急能力建设，以提高船舶污染风险防范和处置能力。</w:t>
      </w:r>
    </w:p>
    <w:sectPr>
      <w:headerReference r:id="rId3" w:type="default"/>
      <w:footerReference r:id="rId4" w:type="default"/>
      <w:pgSz w:w="11906" w:h="16838"/>
      <w:pgMar w:top="1440" w:right="1800" w:bottom="1440" w:left="1800" w:header="851" w:footer="992" w:gutter="0"/>
      <w:cols w:space="425"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Webdings">
    <w:panose1 w:val="05030102010509060703"/>
    <w:charset w:val="02"/>
    <w:family w:val="roman"/>
    <w:pitch w:val="default"/>
    <w:sig w:usb0="00000000" w:usb1="00000000" w:usb2="00000000" w:usb3="00000000" w:csb0="80000000" w:csb1="00000000"/>
  </w:font>
  <w:font w:name="仿宋_GB2312">
    <w:altName w:val="仿宋"/>
    <w:panose1 w:val="0201060903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E9745C">
    <w:pPr>
      <w:pStyle w:val="2"/>
      <w:jc w:val="center"/>
      <w:rPr>
        <w:sz w:val="28"/>
        <w:szCs w:val="28"/>
      </w:rPr>
    </w:pPr>
    <w:r>
      <w:rPr>
        <w:rFonts w:hint="eastAsia"/>
        <w:sz w:val="28"/>
        <w:szCs w:val="28"/>
      </w:rPr>
      <w:t>第</w:t>
    </w:r>
    <w:r>
      <w:rPr>
        <w:b/>
        <w:sz w:val="28"/>
        <w:szCs w:val="28"/>
      </w:rPr>
      <w:fldChar w:fldCharType="begin"/>
    </w:r>
    <w:r>
      <w:rPr>
        <w:b/>
        <w:sz w:val="28"/>
        <w:szCs w:val="28"/>
      </w:rPr>
      <w:instrText xml:space="preserve">PAGE</w:instrText>
    </w:r>
    <w:r>
      <w:rPr>
        <w:b/>
        <w:sz w:val="28"/>
        <w:szCs w:val="28"/>
      </w:rPr>
      <w:fldChar w:fldCharType="separate"/>
    </w:r>
    <w:r>
      <w:rPr>
        <w:b/>
        <w:sz w:val="28"/>
        <w:szCs w:val="28"/>
      </w:rPr>
      <w:t>1</w:t>
    </w:r>
    <w:r>
      <w:rPr>
        <w:b/>
        <w:sz w:val="28"/>
        <w:szCs w:val="28"/>
      </w:rPr>
      <w:fldChar w:fldCharType="end"/>
    </w:r>
    <w:r>
      <w:rPr>
        <w:rFonts w:hint="eastAsia"/>
        <w:b/>
        <w:sz w:val="28"/>
        <w:szCs w:val="28"/>
      </w:rPr>
      <w:t>页</w:t>
    </w:r>
    <w:r>
      <w:rPr>
        <w:sz w:val="28"/>
        <w:szCs w:val="28"/>
        <w:lang w:val="zh-CN"/>
      </w:rPr>
      <w:t xml:space="preserve"> / </w:t>
    </w:r>
    <w:r>
      <w:rPr>
        <w:rFonts w:hint="eastAsia"/>
        <w:sz w:val="28"/>
        <w:szCs w:val="28"/>
        <w:lang w:val="zh-CN"/>
      </w:rPr>
      <w:t>共</w:t>
    </w:r>
    <w:r>
      <w:rPr>
        <w:b/>
        <w:sz w:val="28"/>
        <w:szCs w:val="28"/>
      </w:rPr>
      <w:fldChar w:fldCharType="begin"/>
    </w:r>
    <w:r>
      <w:rPr>
        <w:b/>
        <w:sz w:val="28"/>
        <w:szCs w:val="28"/>
      </w:rPr>
      <w:instrText xml:space="preserve">NUMPAGES</w:instrText>
    </w:r>
    <w:r>
      <w:rPr>
        <w:b/>
        <w:sz w:val="28"/>
        <w:szCs w:val="28"/>
      </w:rPr>
      <w:fldChar w:fldCharType="separate"/>
    </w:r>
    <w:r>
      <w:rPr>
        <w:b/>
        <w:sz w:val="28"/>
        <w:szCs w:val="28"/>
      </w:rPr>
      <w:t>2</w:t>
    </w:r>
    <w:r>
      <w:rPr>
        <w:b/>
        <w:sz w:val="28"/>
        <w:szCs w:val="28"/>
      </w:rPr>
      <w:fldChar w:fldCharType="end"/>
    </w:r>
    <w:r>
      <w:rPr>
        <w:rFonts w:hint="eastAsia"/>
        <w:sz w:val="28"/>
        <w:szCs w:val="28"/>
      </w:rPr>
      <w:t>页</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3E275F">
    <w:pPr>
      <w:pStyle w:val="3"/>
      <w:pBdr>
        <w:bottom w:val="none" w:color="auto" w:sz="0" w:space="0"/>
      </w:pBdr>
      <w:spacing w:before="4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90"/>
  <w:doNotDisplayPageBoundaries w:val="1"/>
  <w:bordersDoNotSurroundHeader w:val="1"/>
  <w:bordersDoNotSurroundFooter w:val="1"/>
  <w:trackRevisions w:val="1"/>
  <w:documentProtection w:enforcement="0"/>
  <w:defaultTabStop w:val="420"/>
  <w:drawingGridHorizontalSpacing w:val="120"/>
  <w:drawingGridVerticalSpacing w:val="163"/>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0000"/>
    <w:rsid w:val="1DFB9104"/>
    <w:rsid w:val="65EF67E4"/>
    <w:rsid w:val="6DFFEB7A"/>
    <w:rsid w:val="BFFF0A50"/>
    <w:rsid w:val="C7752D44"/>
    <w:rsid w:val="DBF6C0AD"/>
    <w:rsid w:val="DFD7117B"/>
    <w:rsid w:val="F9ADA422"/>
    <w:rsid w:val="FD4F20E7"/>
    <w:rsid w:val="FFF66055"/>
    <w:rsid w:val="FFFF206A"/>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nhideWhenUsed="0" w:uiPriority="99" w:semiHidden="0"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宋体" w:hAnsi="宋体" w:eastAsia="宋体" w:cs="宋体"/>
      <w:sz w:val="24"/>
      <w:szCs w:val="24"/>
      <w:lang w:val="en-US" w:eastAsia="zh-CN" w:bidi="ar-SA"/>
    </w:rPr>
  </w:style>
  <w:style w:type="character" w:default="1" w:styleId="7">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footer"/>
    <w:basedOn w:val="1"/>
    <w:link w:val="14"/>
    <w:unhideWhenUsed/>
    <w:qFormat/>
    <w:uiPriority w:val="99"/>
    <w:pPr>
      <w:tabs>
        <w:tab w:val="center" w:pos="4153"/>
        <w:tab w:val="right" w:pos="8306"/>
      </w:tabs>
      <w:snapToGrid w:val="0"/>
    </w:pPr>
    <w:rPr>
      <w:rFonts w:cs="Times New Roman"/>
      <w:sz w:val="18"/>
      <w:szCs w:val="18"/>
    </w:rPr>
  </w:style>
  <w:style w:type="paragraph" w:styleId="3">
    <w:name w:val="header"/>
    <w:basedOn w:val="1"/>
    <w:link w:val="13"/>
    <w:unhideWhenUsed/>
    <w:qFormat/>
    <w:uiPriority w:val="99"/>
    <w:pPr>
      <w:pBdr>
        <w:bottom w:val="single" w:color="auto" w:sz="6" w:space="1"/>
      </w:pBdr>
      <w:tabs>
        <w:tab w:val="center" w:pos="4153"/>
        <w:tab w:val="right" w:pos="8306"/>
      </w:tabs>
      <w:snapToGrid w:val="0"/>
      <w:jc w:val="center"/>
    </w:pPr>
    <w:rPr>
      <w:rFonts w:cs="Times New Roman"/>
      <w:sz w:val="18"/>
      <w:szCs w:val="18"/>
    </w:rPr>
  </w:style>
  <w:style w:type="paragraph" w:styleId="4">
    <w:name w:val="Normal (Web)"/>
    <w:basedOn w:val="1"/>
    <w:unhideWhenUsed/>
    <w:qFormat/>
    <w:uiPriority w:val="99"/>
    <w:pPr>
      <w:spacing w:before="100" w:beforeAutospacing="1" w:after="100" w:afterAutospacing="1"/>
    </w:pPr>
  </w:style>
  <w:style w:type="table" w:styleId="6">
    <w:name w:val="Table Grid"/>
    <w:basedOn w:val="5"/>
    <w:qFormat/>
    <w:uiPriority w:val="0"/>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Strong"/>
    <w:qFormat/>
    <w:uiPriority w:val="22"/>
    <w:rPr>
      <w:b/>
      <w:bCs/>
    </w:rPr>
  </w:style>
  <w:style w:type="paragraph" w:customStyle="1" w:styleId="9">
    <w:name w:val="z-窗体顶端1"/>
    <w:basedOn w:val="1"/>
    <w:next w:val="1"/>
    <w:link w:val="10"/>
    <w:semiHidden/>
    <w:unhideWhenUsed/>
    <w:qFormat/>
    <w:uiPriority w:val="99"/>
    <w:pPr>
      <w:pBdr>
        <w:bottom w:val="single" w:color="auto" w:sz="6" w:space="1"/>
      </w:pBdr>
      <w:jc w:val="center"/>
    </w:pPr>
    <w:rPr>
      <w:rFonts w:ascii="Arial" w:hAnsi="Arial" w:cs="Times New Roman"/>
      <w:vanish/>
      <w:sz w:val="16"/>
      <w:szCs w:val="16"/>
    </w:rPr>
  </w:style>
  <w:style w:type="character" w:customStyle="1" w:styleId="10">
    <w:name w:val="z-窗体顶端 字符"/>
    <w:link w:val="9"/>
    <w:semiHidden/>
    <w:qFormat/>
    <w:uiPriority w:val="99"/>
    <w:rPr>
      <w:rFonts w:ascii="Arial" w:hAnsi="Arial" w:eastAsia="宋体" w:cs="Arial"/>
      <w:vanish/>
      <w:kern w:val="0"/>
      <w:sz w:val="16"/>
      <w:szCs w:val="16"/>
    </w:rPr>
  </w:style>
  <w:style w:type="paragraph" w:customStyle="1" w:styleId="11">
    <w:name w:val="z-窗体底端1"/>
    <w:basedOn w:val="1"/>
    <w:next w:val="1"/>
    <w:link w:val="12"/>
    <w:semiHidden/>
    <w:unhideWhenUsed/>
    <w:qFormat/>
    <w:uiPriority w:val="99"/>
    <w:pPr>
      <w:pBdr>
        <w:top w:val="single" w:color="auto" w:sz="6" w:space="1"/>
      </w:pBdr>
      <w:jc w:val="center"/>
    </w:pPr>
    <w:rPr>
      <w:rFonts w:ascii="Arial" w:hAnsi="Arial" w:cs="Times New Roman"/>
      <w:vanish/>
      <w:sz w:val="16"/>
      <w:szCs w:val="16"/>
    </w:rPr>
  </w:style>
  <w:style w:type="character" w:customStyle="1" w:styleId="12">
    <w:name w:val="z-窗体底端 字符"/>
    <w:link w:val="11"/>
    <w:semiHidden/>
    <w:qFormat/>
    <w:uiPriority w:val="99"/>
    <w:rPr>
      <w:rFonts w:ascii="Arial" w:hAnsi="Arial" w:eastAsia="宋体" w:cs="Arial"/>
      <w:vanish/>
      <w:kern w:val="0"/>
      <w:sz w:val="16"/>
      <w:szCs w:val="16"/>
    </w:rPr>
  </w:style>
  <w:style w:type="character" w:customStyle="1" w:styleId="13">
    <w:name w:val="页眉 字符"/>
    <w:link w:val="3"/>
    <w:qFormat/>
    <w:uiPriority w:val="99"/>
    <w:rPr>
      <w:rFonts w:ascii="宋体" w:hAnsi="宋体" w:cs="宋体"/>
      <w:sz w:val="18"/>
      <w:szCs w:val="18"/>
    </w:rPr>
  </w:style>
  <w:style w:type="character" w:customStyle="1" w:styleId="14">
    <w:name w:val="页脚 字符"/>
    <w:link w:val="2"/>
    <w:qFormat/>
    <w:uiPriority w:val="99"/>
    <w:rPr>
      <w:rFonts w:ascii="宋体" w:hAnsi="宋体" w:cs="宋体"/>
      <w:sz w:val="18"/>
      <w:szCs w:val="18"/>
    </w:rPr>
  </w:style>
  <w:style w:type="paragraph" w:customStyle="1" w:styleId="15">
    <w:name w:val="Normal_0"/>
    <w:qFormat/>
    <w:uiPriority w:val="0"/>
    <w:pPr>
      <w:widowControl w:val="0"/>
      <w:jc w:val="both"/>
    </w:pPr>
    <w:rPr>
      <w:rFonts w:asciiTheme="minorHAnsi" w:hAnsiTheme="minorHAnsi" w:eastAsiaTheme="minorEastAsia" w:cstheme="minorBidi"/>
      <w:sz w:val="21"/>
      <w:szCs w:val="22"/>
      <w:lang w:val="en-US" w:eastAsia="zh-CN" w:bidi="ar-SA"/>
    </w:rPr>
  </w:style>
  <w:style w:type="paragraph" w:customStyle="1" w:styleId="16">
    <w:name w:val="Normal_1"/>
    <w:qFormat/>
    <w:uiPriority w:val="0"/>
    <w:pPr>
      <w:widowControl w:val="0"/>
      <w:jc w:val="both"/>
    </w:pPr>
    <w:rPr>
      <w:rFonts w:ascii="Calibri" w:hAnsi="Calibri" w:eastAsia="宋体" w:cs="Times New Roman"/>
      <w:sz w:val="21"/>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Company>Microsoft</Company>
  <Pages>4</Pages>
  <Words>1752</Words>
  <Characters>1852</Characters>
  <Lines>3</Lines>
  <Paragraphs>1</Paragraphs>
  <TotalTime>60</TotalTime>
  <ScaleCrop>false</ScaleCrop>
  <LinksUpToDate>false</LinksUpToDate>
  <CharactersWithSpaces>1925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2021-04-04T05:38:00Z</dcterms:created>
  <dc:creator>2</dc:creator>
  <cp:lastModifiedBy>WPS_1742806582</cp:lastModifiedBy>
  <cp:lastPrinted>2023-12-29T01:02:00Z</cp:lastPrinted>
  <dcterms:modified xsi:type="dcterms:W3CDTF">2025-03-27T01:34:18Z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E3D15859C45D435E8C9E9BBA1930C628</vt:lpwstr>
  </property>
  <property fmtid="{D5CDD505-2E9C-101B-9397-08002B2CF9AE}" pid="3" name="KSOProductBuildVer">
    <vt:lpwstr>2052-12.1.0.20305</vt:lpwstr>
  </property>
  <property fmtid="{D5CDD505-2E9C-101B-9397-08002B2CF9AE}" pid="4" name="KSOTemplateDocerSaveRecord">
    <vt:lpwstr>eyJoZGlkIjoiYzNiNmU3ODBhNjNmMzM1ZWY3YmI4MzliOTY3NGMxNzMiLCJ1c2VySWQiOiIxNjkwMzU1OTI0In0=</vt:lpwstr>
  </property>
</Properties>
</file>