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6594D3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8946" w:type="dxa"/>
            <w:tcBorders>
              <w:bottom w:val="nil"/>
            </w:tcBorders>
            <w:vAlign w:val="center"/>
          </w:tcPr>
          <w:p w14:paraId="5AEB055B">
            <w:pPr>
              <w:snapToGrid w:val="0"/>
              <w:spacing w:line="570" w:lineRule="exact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41933F9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8946" w:type="dxa"/>
            <w:tcBorders>
              <w:top w:val="nil"/>
              <w:bottom w:val="single" w:color="FF0000" w:sz="12" w:space="0"/>
            </w:tcBorders>
            <w:vAlign w:val="top"/>
          </w:tcPr>
          <w:p w14:paraId="4D8D41CE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FF0000"/>
                <w:sz w:val="72"/>
                <w:szCs w:val="72"/>
              </w:rPr>
            </w:pPr>
            <w:bookmarkStart w:id="0" w:name="_GoBack"/>
            <w:r>
              <w:rPr>
                <w:rFonts w:hint="eastAsia" w:ascii="宋体" w:hAnsi="宋体"/>
                <w:b/>
                <w:color w:val="FF0000"/>
                <w:sz w:val="72"/>
                <w:szCs w:val="72"/>
              </w:rPr>
              <w:pict>
                <v:shape id="_x0000_i1025" o:spt="136" type="#_x0000_t136" style="height:39pt;width:398pt;" fillcolor="#FF0000" filled="t" stroked="t" coordsize="21600,21600" adj="10800">
                  <v:path/>
                  <v:fill on="t" color2="#FFFFFF" focussize="0,0"/>
                  <v:stroke color="#FF0000"/>
                  <v:imagedata o:title=""/>
                  <o:lock v:ext="edit" aspectratio="f"/>
                  <v:textpath on="t" fitshape="t" fitpath="t" trim="t" xscale="f" string="上 海 市 农 业 农 村 委 员 会 文 件" style="font-family:方正小标宋简体;font-size:36pt;v-rotate-letters:f;v-same-letter-heights:f;v-text-align:center;"/>
                  <w10:wrap type="none"/>
                  <w10:anchorlock/>
                </v:shape>
              </w:pict>
            </w:r>
            <w:bookmarkEnd w:id="0"/>
          </w:p>
          <w:p w14:paraId="4AB0B2E1">
            <w:pPr>
              <w:snapToGrid w:val="0"/>
              <w:spacing w:line="570" w:lineRule="exact"/>
              <w:rPr>
                <w:rFonts w:hint="eastAsia" w:ascii="仿宋_GB2312" w:hAnsi="宋体" w:eastAsia="仿宋_GB2312"/>
                <w:b/>
                <w:color w:val="FF0000"/>
                <w:sz w:val="32"/>
                <w:szCs w:val="32"/>
              </w:rPr>
            </w:pPr>
          </w:p>
          <w:p w14:paraId="13F91697">
            <w:pPr>
              <w:snapToGrid w:val="0"/>
              <w:spacing w:line="570" w:lineRule="exact"/>
              <w:rPr>
                <w:rFonts w:hint="eastAsia" w:ascii="仿宋_GB2312" w:hAnsi="宋体" w:eastAsia="仿宋_GB2312"/>
                <w:b/>
                <w:color w:val="FF0000"/>
                <w:sz w:val="32"/>
                <w:szCs w:val="32"/>
              </w:rPr>
            </w:pPr>
          </w:p>
          <w:p w14:paraId="6F235FF8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沪农委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号</w:t>
            </w:r>
          </w:p>
        </w:tc>
      </w:tr>
    </w:tbl>
    <w:p w14:paraId="4BC8D474">
      <w:pPr>
        <w:spacing w:line="640" w:lineRule="exact"/>
        <w:jc w:val="center"/>
        <w:rPr>
          <w:rFonts w:hint="eastAsia" w:ascii="华文中宋" w:hAnsi="华文中宋" w:eastAsia="华文中宋" w:cs="方正小标宋简体"/>
          <w:sz w:val="36"/>
          <w:szCs w:val="36"/>
        </w:rPr>
      </w:pPr>
    </w:p>
    <w:p w14:paraId="346E2FBF">
      <w:pPr>
        <w:spacing w:line="640" w:lineRule="exact"/>
        <w:ind w:firstLine="721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关于本市实施长江口及其他内陆水域禁渔的通告</w:t>
      </w:r>
    </w:p>
    <w:p w14:paraId="45C6C14C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（征求意见稿）</w:t>
      </w:r>
    </w:p>
    <w:p w14:paraId="74DBEF9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《中华人民共和国渔业法》、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《国务院办公厅关于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坚定不移推进长江十年禁渔工作的意见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》（国办发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〔2024〕12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设立长江口禁捕管理区》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（农业农村部通告〔20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实施长江口及其他内陆水域禁渔有关事项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通告如下。</w:t>
      </w:r>
    </w:p>
    <w:p w14:paraId="1634AEF7">
      <w:pPr>
        <w:numPr>
          <w:ilvl w:val="0"/>
          <w:numId w:val="1"/>
        </w:numPr>
        <w:spacing w:line="580" w:lineRule="exact"/>
        <w:ind w:firstLine="641" w:firstLineChars="200"/>
        <w:rPr>
          <w:rFonts w:hint="eastAsia" w:ascii="黑体" w:hAnsi="黑体" w:eastAsia="黑体" w:cs="黑体"/>
          <w:b/>
          <w:bCs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4"/>
          <w:lang w:eastAsia="zh-CN"/>
        </w:rPr>
        <w:t>禁渔区、禁渔期规定</w:t>
      </w:r>
    </w:p>
    <w:p w14:paraId="73C21CBD">
      <w:pPr>
        <w:numPr>
          <w:ilvl w:val="0"/>
          <w:numId w:val="0"/>
        </w:numPr>
        <w:spacing w:line="580" w:lineRule="exact"/>
        <w:ind w:firstLine="641" w:firstLineChars="200"/>
        <w:rPr>
          <w:rFonts w:hint="eastAsia" w:ascii="华文楷体" w:hAnsi="华文楷体" w:eastAsia="华文楷体" w:cs="华文楷体"/>
          <w:b/>
          <w:bCs/>
          <w:i w:val="0"/>
          <w:caps w:val="0"/>
          <w:color w:val="333333"/>
          <w:spacing w:val="0"/>
          <w:sz w:val="32"/>
          <w:szCs w:val="24"/>
          <w:shd w:val="clear" w:color="auto" w:fill="FFFFFF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24"/>
          <w:lang w:val="en-US" w:eastAsia="zh-CN"/>
        </w:rPr>
        <w:t>（一）长江口水域</w:t>
      </w:r>
    </w:p>
    <w:p w14:paraId="5F6CCDC5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eastAsia="仿宋_GB2312" w:cs="Times New Roman"/>
          <w:sz w:val="32"/>
          <w:szCs w:val="24"/>
          <w:lang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禁渔水域为长江口禁捕管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理区内的我市管辖的长江水域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24"/>
          <w:shd w:val="clear" w:color="auto" w:fill="FFFFFF"/>
          <w:lang w:eastAsia="zh-CN"/>
        </w:rPr>
        <w:t>水域</w:t>
      </w:r>
      <w:r>
        <w:rPr>
          <w:rFonts w:hint="eastAsia" w:eastAsia="仿宋_GB2312" w:cs="Times New Roman"/>
          <w:i w:val="0"/>
          <w:caps w:val="0"/>
          <w:spacing w:val="0"/>
          <w:sz w:val="32"/>
          <w:szCs w:val="24"/>
          <w:lang w:eastAsia="zh-CN"/>
        </w:rPr>
        <w:t>范围为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东经122°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24"/>
        </w:rPr>
        <w:t>′、北纬31°4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</w:rPr>
        <w:t>′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24"/>
        </w:rPr>
        <w:t>″、北纬30°54′0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24"/>
        </w:rPr>
        <w:t>″</w:t>
      </w:r>
      <w:r>
        <w:rPr>
          <w:rFonts w:hint="eastAsia" w:eastAsia="仿宋_GB2312" w:cs="Times New Roman"/>
          <w:sz w:val="32"/>
          <w:szCs w:val="24"/>
          <w:lang w:eastAsia="zh-CN"/>
        </w:rPr>
        <w:t>形成的框型区线，向西以水陆交界线为界。具体为上述水域范围内沿江岸线海塘、水闸外侧与自然水域连通的长江口水域。</w:t>
      </w:r>
    </w:p>
    <w:p w14:paraId="4CF0CD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上述禁渔水域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实施常年禁捕，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禁止</w:t>
      </w:r>
      <w:r>
        <w:rPr>
          <w:rFonts w:hint="eastAsia" w:eastAsia="仿宋_GB2312" w:cs="Times New Roman"/>
          <w:sz w:val="32"/>
          <w:szCs w:val="24"/>
          <w:lang w:eastAsia="zh-CN"/>
        </w:rPr>
        <w:t>所有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生产性捕捞</w:t>
      </w:r>
      <w:r>
        <w:rPr>
          <w:rFonts w:hint="eastAsia" w:eastAsia="仿宋_GB2312" w:cs="Times New Roman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休闲垂钓管理按照《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关于加强和规范我市长江口禁捕管理区垂钓管理的通告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》执行。</w:t>
      </w:r>
    </w:p>
    <w:p w14:paraId="5637C565">
      <w:pPr>
        <w:numPr>
          <w:ilvl w:val="0"/>
          <w:numId w:val="0"/>
        </w:numPr>
        <w:spacing w:line="580" w:lineRule="exact"/>
        <w:ind w:firstLine="641" w:firstLineChars="200"/>
        <w:rPr>
          <w:rFonts w:hint="eastAsia" w:ascii="华文楷体" w:hAnsi="华文楷体" w:eastAsia="华文楷体" w:cs="华文楷体"/>
          <w:b/>
          <w:bCs/>
          <w:sz w:val="32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24"/>
          <w:lang w:val="en-US" w:eastAsia="zh-CN"/>
        </w:rPr>
        <w:t>（二）黄浦江及其他内陆水域</w:t>
      </w:r>
    </w:p>
    <w:p w14:paraId="322FC7F4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eastAsia="仿宋_GB2312" w:cs="Times New Roman"/>
          <w:sz w:val="32"/>
          <w:szCs w:val="24"/>
          <w:lang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1.黄浦江水域，水域范围为上游淀山湖以下拦路港大桥起，至下游吴淞口（吴淞口灯塔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12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08.4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31°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47.2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,101号灯浮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12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32.3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31°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39.6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，北港嘴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12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21.9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31°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'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"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三点连线）水域内的渔业水域。</w:t>
      </w:r>
      <w:r>
        <w:rPr>
          <w:rFonts w:hint="eastAsia" w:eastAsia="仿宋_GB2312" w:cs="Times New Roman"/>
          <w:sz w:val="32"/>
          <w:szCs w:val="24"/>
          <w:lang w:eastAsia="zh-CN"/>
        </w:rPr>
        <w:t>具体为上述水域范围内沿岸两侧防汛墙内（有水闸的以水闸为界）的渔业水域。</w:t>
      </w:r>
    </w:p>
    <w:p w14:paraId="72D8101E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eastAsia="仿宋_GB2312" w:cs="Times New Roman"/>
          <w:sz w:val="32"/>
          <w:szCs w:val="24"/>
          <w:lang w:val="en-US"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2.其他内陆水域，水域范围为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我市辖区内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除长江口、黄浦江水域以外的开放性、自然性内陆渔业水域，包括湖泊及河流（河道）。</w:t>
      </w:r>
    </w:p>
    <w:p w14:paraId="1C49BAF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eastAsia="仿宋_GB2312" w:cs="Times New Roman"/>
          <w:sz w:val="32"/>
          <w:szCs w:val="24"/>
          <w:lang w:val="en-US"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上述水域禁渔时间为每年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2月16日12时至5月16日12时，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禁渔期间除休闲垂钓外，禁止所有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生产性捕捞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。</w:t>
      </w:r>
    </w:p>
    <w:p w14:paraId="5D0679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二、其他</w:t>
      </w:r>
    </w:p>
    <w:p w14:paraId="5E24FD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eastAsia="仿宋_GB2312"/>
          <w:sz w:val="32"/>
          <w:szCs w:val="24"/>
          <w:lang w:eastAsia="zh-CN"/>
        </w:rPr>
      </w:pPr>
      <w:r>
        <w:rPr>
          <w:rFonts w:hint="eastAsia" w:eastAsia="仿宋_GB2312" w:cs="Times New Roman"/>
          <w:sz w:val="32"/>
          <w:szCs w:val="24"/>
          <w:lang w:val="en-US" w:eastAsia="zh-CN"/>
        </w:rPr>
        <w:t>长江口水域、黄浦江及其他内陆水域的专项（特许）捕捞、执法监管、协调机制等工作根据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《中华人民共和国渔业法》、《中华人民共和国长江保护法》等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法律法规及农业农村部规定执行。</w:t>
      </w:r>
    </w:p>
    <w:p w14:paraId="4F37737B">
      <w:pPr>
        <w:spacing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4"/>
          <w:lang w:val="en-US" w:eastAsia="zh-CN" w:bidi="ar"/>
        </w:rPr>
        <w:t>本通告自202</w:t>
      </w:r>
      <w:r>
        <w:rPr>
          <w:rFonts w:hint="eastAsia" w:eastAsia="仿宋_GB2312" w:cs="Times New Roman"/>
          <w:kern w:val="0"/>
          <w:sz w:val="32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24"/>
          <w:lang w:val="en-US" w:eastAsia="zh-CN" w:bidi="ar"/>
        </w:rPr>
        <w:t>年2月  日起正式实施，有效期</w:t>
      </w:r>
      <w:r>
        <w:rPr>
          <w:rFonts w:hint="eastAsia" w:eastAsia="仿宋_GB2312" w:cs="Times New Roman"/>
          <w:kern w:val="0"/>
          <w:sz w:val="32"/>
          <w:szCs w:val="24"/>
          <w:lang w:val="en-US" w:eastAsia="zh-CN" w:bidi="ar"/>
        </w:rPr>
        <w:t>至   年  月日。</w:t>
      </w:r>
    </w:p>
    <w:p w14:paraId="412EACBD">
      <w:pPr>
        <w:spacing w:line="580" w:lineRule="exact"/>
        <w:rPr>
          <w:rFonts w:eastAsia="仿宋_GB2312"/>
          <w:sz w:val="32"/>
          <w:szCs w:val="24"/>
        </w:rPr>
      </w:pPr>
    </w:p>
    <w:p w14:paraId="46646578">
      <w:pPr>
        <w:spacing w:line="580" w:lineRule="exact"/>
        <w:rPr>
          <w:rFonts w:eastAsia="仿宋_GB2312"/>
          <w:sz w:val="32"/>
          <w:szCs w:val="24"/>
        </w:rPr>
      </w:pPr>
    </w:p>
    <w:p w14:paraId="41DBA055">
      <w:pPr>
        <w:spacing w:line="580" w:lineRule="exact"/>
        <w:rPr>
          <w:rFonts w:eastAsia="仿宋_GB2312"/>
          <w:sz w:val="32"/>
          <w:szCs w:val="24"/>
        </w:rPr>
      </w:pPr>
    </w:p>
    <w:p w14:paraId="6FE5B35B">
      <w:pPr>
        <w:spacing w:line="580" w:lineRule="exact"/>
        <w:rPr>
          <w:rFonts w:eastAsia="仿宋_GB2312"/>
          <w:sz w:val="32"/>
          <w:szCs w:val="24"/>
        </w:rPr>
      </w:pPr>
    </w:p>
    <w:p w14:paraId="260D32D6">
      <w:pPr>
        <w:spacing w:line="580" w:lineRule="exact"/>
        <w:rPr>
          <w:rFonts w:eastAsia="仿宋_GB2312"/>
          <w:sz w:val="32"/>
          <w:szCs w:val="24"/>
        </w:rPr>
      </w:pPr>
    </w:p>
    <w:p w14:paraId="57B31786">
      <w:pPr>
        <w:spacing w:line="580" w:lineRule="exact"/>
        <w:rPr>
          <w:rFonts w:eastAsia="仿宋_GB2312"/>
          <w:sz w:val="32"/>
          <w:szCs w:val="24"/>
        </w:rPr>
      </w:pPr>
    </w:p>
    <w:p w14:paraId="67D587FC">
      <w:pPr>
        <w:spacing w:line="580" w:lineRule="exact"/>
        <w:rPr>
          <w:rFonts w:eastAsia="仿宋_GB2312"/>
          <w:sz w:val="32"/>
          <w:szCs w:val="24"/>
        </w:rPr>
      </w:pPr>
    </w:p>
    <w:p w14:paraId="184CD211">
      <w:pPr>
        <w:spacing w:line="580" w:lineRule="exact"/>
        <w:rPr>
          <w:rFonts w:eastAsia="仿宋_GB2312"/>
          <w:sz w:val="32"/>
          <w:szCs w:val="24"/>
        </w:rPr>
      </w:pPr>
    </w:p>
    <w:p w14:paraId="36F74B59">
      <w:pPr>
        <w:spacing w:line="580" w:lineRule="exact"/>
        <w:rPr>
          <w:rFonts w:eastAsia="仿宋_GB2312"/>
          <w:sz w:val="32"/>
          <w:szCs w:val="24"/>
        </w:rPr>
      </w:pPr>
    </w:p>
    <w:p w14:paraId="59462031">
      <w:pPr>
        <w:spacing w:line="580" w:lineRule="exact"/>
        <w:rPr>
          <w:rFonts w:eastAsia="仿宋_GB2312"/>
          <w:sz w:val="32"/>
          <w:szCs w:val="24"/>
        </w:rPr>
      </w:pPr>
    </w:p>
    <w:p w14:paraId="4B384346">
      <w:pPr>
        <w:spacing w:line="580" w:lineRule="exact"/>
        <w:ind w:firstLine="4800" w:firstLineChars="1500"/>
        <w:rPr>
          <w:rFonts w:hint="eastAsia" w:eastAsia="仿宋_GB2312"/>
          <w:sz w:val="32"/>
          <w:szCs w:val="24"/>
          <w:lang w:eastAsia="zh-CN"/>
        </w:rPr>
      </w:pPr>
      <w:r>
        <w:rPr>
          <w:rFonts w:hint="eastAsia" w:eastAsia="仿宋_GB2312"/>
          <w:sz w:val="32"/>
          <w:szCs w:val="24"/>
          <w:lang w:eastAsia="zh-CN"/>
        </w:rPr>
        <w:t>上海市农业农村委员会</w:t>
      </w:r>
    </w:p>
    <w:p w14:paraId="1B73A124">
      <w:pPr>
        <w:spacing w:line="580" w:lineRule="exact"/>
        <w:ind w:firstLine="5440" w:firstLineChars="1700"/>
        <w:jc w:val="both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20</w:t>
      </w:r>
      <w:r>
        <w:rPr>
          <w:rFonts w:hint="eastAsia" w:eastAsia="仿宋_GB2312"/>
          <w:sz w:val="32"/>
          <w:szCs w:val="24"/>
          <w:lang w:val="en-US" w:eastAsia="zh-CN"/>
        </w:rPr>
        <w:t>26</w:t>
      </w:r>
      <w:r>
        <w:rPr>
          <w:rFonts w:eastAsia="仿宋_GB2312"/>
          <w:sz w:val="32"/>
          <w:szCs w:val="24"/>
        </w:rPr>
        <w:t>年</w:t>
      </w:r>
      <w:r>
        <w:rPr>
          <w:rFonts w:hint="eastAsia" w:eastAsia="仿宋_GB2312"/>
          <w:sz w:val="32"/>
          <w:szCs w:val="24"/>
          <w:lang w:val="en-US" w:eastAsia="zh-CN"/>
        </w:rPr>
        <w:t>2</w:t>
      </w:r>
      <w:r>
        <w:rPr>
          <w:rFonts w:eastAsia="仿宋_GB2312"/>
          <w:sz w:val="32"/>
          <w:szCs w:val="24"/>
        </w:rPr>
        <w:t>月  日</w:t>
      </w:r>
    </w:p>
    <w:p w14:paraId="3815D3B7">
      <w:pPr>
        <w:spacing w:line="580" w:lineRule="exact"/>
        <w:jc w:val="both"/>
        <w:rPr>
          <w:rFonts w:eastAsia="仿宋_GB2312"/>
          <w:sz w:val="32"/>
          <w:szCs w:val="24"/>
        </w:rPr>
      </w:pPr>
    </w:p>
    <w:p w14:paraId="30F854A6"/>
    <w:p w14:paraId="287363B4">
      <w:pPr>
        <w:pBdr>
          <w:top w:val="single" w:color="auto" w:sz="12" w:space="1"/>
          <w:bottom w:val="single" w:color="auto" w:sz="12" w:space="1"/>
          <w:between w:val="single" w:color="auto" w:sz="12" w:space="1"/>
        </w:pBdr>
        <w:adjustRightInd w:val="0"/>
        <w:snapToGrid w:val="0"/>
        <w:spacing w:line="300" w:lineRule="auto"/>
        <w:ind w:firstLine="320" w:firstLineChars="100"/>
      </w:pPr>
      <w:r>
        <w:rPr>
          <w:rFonts w:hint="eastAsia" w:ascii="仿宋_GB2312" w:hAnsi="宋体" w:eastAsia="仿宋_GB2312"/>
          <w:sz w:val="32"/>
          <w:szCs w:val="32"/>
        </w:rPr>
        <w:t>上海市农业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</w:t>
      </w:r>
      <w:r>
        <w:rPr>
          <w:rFonts w:hint="eastAsia" w:ascii="仿宋_GB2312" w:hAnsi="宋体" w:eastAsia="仿宋_GB2312"/>
          <w:sz w:val="32"/>
          <w:szCs w:val="32"/>
        </w:rPr>
        <w:t>委员会办公室　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2月  </w:t>
      </w:r>
      <w:r>
        <w:rPr>
          <w:rFonts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印发</w:t>
      </w: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楷体">
    <w:altName w:val="汉仪楷体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19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89A55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9A55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074B6"/>
    <w:multiLevelType w:val="singleLevel"/>
    <w:tmpl w:val="5E0074B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7177"/>
    <w:rsid w:val="02242832"/>
    <w:rsid w:val="02614B0C"/>
    <w:rsid w:val="02C914F9"/>
    <w:rsid w:val="02F7281A"/>
    <w:rsid w:val="03601C64"/>
    <w:rsid w:val="06146FFD"/>
    <w:rsid w:val="07E90928"/>
    <w:rsid w:val="083B00FE"/>
    <w:rsid w:val="0A9B40A9"/>
    <w:rsid w:val="0AC63457"/>
    <w:rsid w:val="0C5276D1"/>
    <w:rsid w:val="0DB4547E"/>
    <w:rsid w:val="0E7224BD"/>
    <w:rsid w:val="0F736692"/>
    <w:rsid w:val="0FBA1187"/>
    <w:rsid w:val="10AD7189"/>
    <w:rsid w:val="113177C2"/>
    <w:rsid w:val="135610BA"/>
    <w:rsid w:val="13B35367"/>
    <w:rsid w:val="14DC7161"/>
    <w:rsid w:val="15EF19D8"/>
    <w:rsid w:val="17B937C4"/>
    <w:rsid w:val="18AA49B9"/>
    <w:rsid w:val="18D2D0AF"/>
    <w:rsid w:val="197524CC"/>
    <w:rsid w:val="1A530F57"/>
    <w:rsid w:val="1B741B0F"/>
    <w:rsid w:val="1CF762CB"/>
    <w:rsid w:val="1E8642FB"/>
    <w:rsid w:val="1EAE5233"/>
    <w:rsid w:val="1FB44AE2"/>
    <w:rsid w:val="2367324E"/>
    <w:rsid w:val="2485763D"/>
    <w:rsid w:val="24C975BC"/>
    <w:rsid w:val="25DF8A72"/>
    <w:rsid w:val="260C6216"/>
    <w:rsid w:val="261143FA"/>
    <w:rsid w:val="26815067"/>
    <w:rsid w:val="289270AC"/>
    <w:rsid w:val="292C5225"/>
    <w:rsid w:val="29412A3A"/>
    <w:rsid w:val="2BCC563C"/>
    <w:rsid w:val="2C1F5319"/>
    <w:rsid w:val="2C7C170C"/>
    <w:rsid w:val="2CAC050A"/>
    <w:rsid w:val="2D46763E"/>
    <w:rsid w:val="2ED31C6B"/>
    <w:rsid w:val="2EDE7927"/>
    <w:rsid w:val="2FB51B6B"/>
    <w:rsid w:val="320A2D87"/>
    <w:rsid w:val="33884D95"/>
    <w:rsid w:val="33DB255C"/>
    <w:rsid w:val="3406477F"/>
    <w:rsid w:val="345E4E88"/>
    <w:rsid w:val="35853527"/>
    <w:rsid w:val="35C536E9"/>
    <w:rsid w:val="36265729"/>
    <w:rsid w:val="36866FD1"/>
    <w:rsid w:val="36AD528F"/>
    <w:rsid w:val="372C39C1"/>
    <w:rsid w:val="37795147"/>
    <w:rsid w:val="378458B7"/>
    <w:rsid w:val="37FC9691"/>
    <w:rsid w:val="38223C5A"/>
    <w:rsid w:val="38FDCEE3"/>
    <w:rsid w:val="3B3A1AEC"/>
    <w:rsid w:val="3B3B6553"/>
    <w:rsid w:val="3BAC6A3C"/>
    <w:rsid w:val="3BB47D15"/>
    <w:rsid w:val="3BC6DAA8"/>
    <w:rsid w:val="3BEA724C"/>
    <w:rsid w:val="3C2727FF"/>
    <w:rsid w:val="3D0B4FDE"/>
    <w:rsid w:val="3DC66DAD"/>
    <w:rsid w:val="3EF577D3"/>
    <w:rsid w:val="3EFE8CC4"/>
    <w:rsid w:val="3FAFE989"/>
    <w:rsid w:val="3FB43427"/>
    <w:rsid w:val="3FFF16DF"/>
    <w:rsid w:val="40890F53"/>
    <w:rsid w:val="408B2EF3"/>
    <w:rsid w:val="40BF574C"/>
    <w:rsid w:val="41390984"/>
    <w:rsid w:val="42310C40"/>
    <w:rsid w:val="42BE1075"/>
    <w:rsid w:val="43962D99"/>
    <w:rsid w:val="44825239"/>
    <w:rsid w:val="47F739F8"/>
    <w:rsid w:val="49170B87"/>
    <w:rsid w:val="49301B25"/>
    <w:rsid w:val="4A706CD9"/>
    <w:rsid w:val="4B327CBE"/>
    <w:rsid w:val="4B9C360B"/>
    <w:rsid w:val="4BFDA54A"/>
    <w:rsid w:val="4C251D53"/>
    <w:rsid w:val="4C6F59CD"/>
    <w:rsid w:val="4DE268CD"/>
    <w:rsid w:val="516932D5"/>
    <w:rsid w:val="528C6218"/>
    <w:rsid w:val="532863CB"/>
    <w:rsid w:val="53F6371E"/>
    <w:rsid w:val="541360D1"/>
    <w:rsid w:val="54413FB1"/>
    <w:rsid w:val="548255B5"/>
    <w:rsid w:val="56156280"/>
    <w:rsid w:val="5643671D"/>
    <w:rsid w:val="564F15EC"/>
    <w:rsid w:val="57215792"/>
    <w:rsid w:val="5ABE5600"/>
    <w:rsid w:val="5B8656AB"/>
    <w:rsid w:val="5BFCB292"/>
    <w:rsid w:val="5D0C46B7"/>
    <w:rsid w:val="5F57184D"/>
    <w:rsid w:val="5FCD792C"/>
    <w:rsid w:val="5FFD0E75"/>
    <w:rsid w:val="60BC5C1A"/>
    <w:rsid w:val="6283543C"/>
    <w:rsid w:val="62BE29F4"/>
    <w:rsid w:val="63F7A5F7"/>
    <w:rsid w:val="64FB1E24"/>
    <w:rsid w:val="655670F3"/>
    <w:rsid w:val="663218A9"/>
    <w:rsid w:val="67871D14"/>
    <w:rsid w:val="67ED8389"/>
    <w:rsid w:val="67FF404D"/>
    <w:rsid w:val="68DE2F9D"/>
    <w:rsid w:val="69EA385F"/>
    <w:rsid w:val="6A4B4A90"/>
    <w:rsid w:val="6AF14940"/>
    <w:rsid w:val="6B2F437E"/>
    <w:rsid w:val="6B305BB2"/>
    <w:rsid w:val="6B9A1E77"/>
    <w:rsid w:val="6BBDDF25"/>
    <w:rsid w:val="6C94183A"/>
    <w:rsid w:val="6D05042B"/>
    <w:rsid w:val="6D0F5AB0"/>
    <w:rsid w:val="6EAF1160"/>
    <w:rsid w:val="6EDD09D7"/>
    <w:rsid w:val="6FF9FBF0"/>
    <w:rsid w:val="71FB894D"/>
    <w:rsid w:val="75BF447A"/>
    <w:rsid w:val="75F519AE"/>
    <w:rsid w:val="76461644"/>
    <w:rsid w:val="76A86AD8"/>
    <w:rsid w:val="76FD9700"/>
    <w:rsid w:val="7707478F"/>
    <w:rsid w:val="7712FF94"/>
    <w:rsid w:val="77C53497"/>
    <w:rsid w:val="77FE8BFB"/>
    <w:rsid w:val="78F3D022"/>
    <w:rsid w:val="79BEBE6A"/>
    <w:rsid w:val="7A7FBE5F"/>
    <w:rsid w:val="7A852B7A"/>
    <w:rsid w:val="7B7628E2"/>
    <w:rsid w:val="7BD61B9A"/>
    <w:rsid w:val="7BF366AC"/>
    <w:rsid w:val="7C8116FD"/>
    <w:rsid w:val="7C930D84"/>
    <w:rsid w:val="7CAD0400"/>
    <w:rsid w:val="7CFA1BEE"/>
    <w:rsid w:val="7D680462"/>
    <w:rsid w:val="7DB78A1F"/>
    <w:rsid w:val="7DDFBC0C"/>
    <w:rsid w:val="7DEE447F"/>
    <w:rsid w:val="7E2B6C4F"/>
    <w:rsid w:val="7E5E42DA"/>
    <w:rsid w:val="7E7D95ED"/>
    <w:rsid w:val="7E9F33F0"/>
    <w:rsid w:val="7EDF5D89"/>
    <w:rsid w:val="7EEF82E5"/>
    <w:rsid w:val="7F3DAF79"/>
    <w:rsid w:val="7F9A666C"/>
    <w:rsid w:val="7FC77143"/>
    <w:rsid w:val="7FE35F8D"/>
    <w:rsid w:val="7FEF673A"/>
    <w:rsid w:val="8E5701E5"/>
    <w:rsid w:val="99FD648B"/>
    <w:rsid w:val="9FFE4DF0"/>
    <w:rsid w:val="ACFBC33E"/>
    <w:rsid w:val="ADD7CD6A"/>
    <w:rsid w:val="AFDAAD07"/>
    <w:rsid w:val="AFFD57F9"/>
    <w:rsid w:val="B3BE5C16"/>
    <w:rsid w:val="B7FE0245"/>
    <w:rsid w:val="BB3D4B96"/>
    <w:rsid w:val="BEFEAFA2"/>
    <w:rsid w:val="BF6E4608"/>
    <w:rsid w:val="CAF69021"/>
    <w:rsid w:val="CEBD2536"/>
    <w:rsid w:val="CFFB46C1"/>
    <w:rsid w:val="DFBFA552"/>
    <w:rsid w:val="DFFBB163"/>
    <w:rsid w:val="E5FDC79C"/>
    <w:rsid w:val="E7FEFB08"/>
    <w:rsid w:val="EBFE3B57"/>
    <w:rsid w:val="ECDECBBC"/>
    <w:rsid w:val="ECFDB560"/>
    <w:rsid w:val="EEFD4312"/>
    <w:rsid w:val="EEFE3316"/>
    <w:rsid w:val="EF7DB3C0"/>
    <w:rsid w:val="EFFB9882"/>
    <w:rsid w:val="F57FB0D6"/>
    <w:rsid w:val="F5CD81CC"/>
    <w:rsid w:val="F7F13272"/>
    <w:rsid w:val="F7FB8930"/>
    <w:rsid w:val="F7FBB307"/>
    <w:rsid w:val="F957010E"/>
    <w:rsid w:val="F9FA8E1B"/>
    <w:rsid w:val="FB7B99FA"/>
    <w:rsid w:val="FB8FA082"/>
    <w:rsid w:val="FBBE83E1"/>
    <w:rsid w:val="FBE98FD2"/>
    <w:rsid w:val="FBFF58FC"/>
    <w:rsid w:val="FD661A3A"/>
    <w:rsid w:val="FE2F5C01"/>
    <w:rsid w:val="FF140119"/>
    <w:rsid w:val="FFEE09CF"/>
    <w:rsid w:val="FFE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OA</dc:creator>
  <cp:lastModifiedBy>user</cp:lastModifiedBy>
  <cp:lastPrinted>2026-01-05T07:31:00Z</cp:lastPrinted>
  <dcterms:modified xsi:type="dcterms:W3CDTF">2026-01-04T16:27:36Z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D13B3E1C3AD0D7E378245A693B601207_43</vt:lpwstr>
  </property>
</Properties>
</file>