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2474">
      <w:pPr>
        <w:rPr>
          <w:rFonts w:ascii="宋体" w:hAnsi="宋体"/>
          <w:color w:val="008000"/>
          <w:sz w:val="24"/>
        </w:rPr>
      </w:pPr>
      <w:r>
        <w:rPr>
          <w:rFonts w:hint="eastAsia" w:ascii="宋体" w:hAnsi="宋体"/>
          <w:color w:val="008000"/>
          <w:sz w:val="24"/>
        </w:rPr>
        <w:t>提案内容：</w:t>
      </w:r>
    </w:p>
    <w:p w14:paraId="3E6A62BA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关于科技赋能滨海新生地资源利用，助力上海构建绿色甲醇自主经</w:t>
      </w:r>
      <w:bookmarkStart w:id="1" w:name="_GoBack"/>
      <w:bookmarkEnd w:id="1"/>
      <w:r>
        <w:rPr>
          <w:rFonts w:ascii="黑体" w:hAnsi="黑体" w:eastAsia="黑体"/>
          <w:b/>
          <w:sz w:val="44"/>
          <w:szCs w:val="44"/>
        </w:rPr>
        <w:t>济型全产业链的提案</w:t>
      </w:r>
      <w:bookmarkEnd w:id="0"/>
    </w:p>
    <w:p w14:paraId="1A66A921">
      <w:pPr>
        <w:jc w:val="center"/>
        <w:rPr>
          <w:rFonts w:ascii="黑体" w:hAnsi="黑体" w:eastAsia="黑体"/>
          <w:sz w:val="44"/>
          <w:szCs w:val="44"/>
        </w:rPr>
      </w:pPr>
    </w:p>
    <w:p w14:paraId="46B40D01">
      <w:pPr>
        <w:rPr>
          <w:rFonts w:ascii="黑体" w:hAnsi="黑体" w:eastAsia="黑体"/>
          <w:b/>
          <w:color w:val="008000"/>
          <w:sz w:val="36"/>
          <w:szCs w:val="36"/>
        </w:rPr>
      </w:pPr>
    </w:p>
    <w:p w14:paraId="13657604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宋体" w:hAnsi="宋体" w:eastAsia="宋体" w:cs="宋体"/>
          <w:b/>
          <w:color w:val="008000"/>
          <w:sz w:val="36"/>
          <w:szCs w:val="22"/>
          <w:lang w:val="ru-RU" w:eastAsia="en-US" w:bidi="ar-SA"/>
        </w:rPr>
        <w:t>※背景情况※</w:t>
      </w:r>
    </w:p>
    <w:p w14:paraId="7EF2FBE9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仿宋" w:eastAsia="仿宋" w:cs="仿宋"/>
          <w:sz w:val="30"/>
          <w:szCs w:val="22"/>
          <w:lang w:val="ru-RU" w:eastAsia="en-US" w:bidi="ar-SA"/>
        </w:rPr>
        <w:t xml:space="preserve">    在上海建设“五大中心”的过程中，国际航运中心的建设是重要目标之一，面向全球绿色低碳发展以及集装箱货轮燃料绿色转型的趋势，上海正积极推进集装箱货轮绿色加注体系。绿色甲醇作为国际航运市场的重要动力能源之一，逐渐得到广泛关注和应用。2023年，以甲醇为燃料的船舶订单已达138艘，甲醇首次成为年度最受欢迎的替代燃料。</w:t>
      </w:r>
    </w:p>
    <w:p w14:paraId="2E247590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仿宋" w:eastAsia="仿宋" w:cs="仿宋"/>
          <w:sz w:val="30"/>
          <w:szCs w:val="22"/>
          <w:lang w:val="ru-RU" w:eastAsia="en-US" w:bidi="ar-SA"/>
        </w:rPr>
        <w:t xml:space="preserve">    针对上海国际航运中心建设目标，绿色甲醇加注能力已成为关键支撑能力。2024年4月10日，上海洋山港实现了中国首次绿甲醇船对船加注，成为我国首个具备加注绿色甲醇的港口。然而，目前加注的绿色甲醇仍依赖于海外进口，如何打造完善的上海绿色甲醇产业链已成为共识。虽然上海在绿色甲醇的生成、储运和终端加注方面已经建立了较为成熟的体系，但生物燃料原料的供应端仍然存在一定缺口。</w:t>
      </w:r>
    </w:p>
    <w:p w14:paraId="5F63DD13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Times New Roman" w:hAnsi="Times New Roman" w:eastAsia="Times New Roman" w:cs="Times New Roman"/>
          <w:b/>
          <w:color w:val="008000"/>
          <w:sz w:val="36"/>
          <w:szCs w:val="22"/>
          <w:lang w:val="ru-RU" w:eastAsia="en-US" w:bidi="ar-SA"/>
        </w:rPr>
        <w:t> </w:t>
      </w:r>
    </w:p>
    <w:p w14:paraId="1A441DAB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宋体" w:hAnsi="宋体" w:eastAsia="宋体" w:cs="宋体"/>
          <w:b/>
          <w:color w:val="008000"/>
          <w:sz w:val="36"/>
          <w:szCs w:val="22"/>
          <w:lang w:val="ru-RU" w:eastAsia="en-US" w:bidi="ar-SA"/>
        </w:rPr>
        <w:t>――――――――――――――――――――――</w:t>
      </w:r>
    </w:p>
    <w:p w14:paraId="43413B71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宋体" w:hAnsi="宋体" w:eastAsia="宋体" w:cs="宋体"/>
          <w:b/>
          <w:color w:val="008000"/>
          <w:sz w:val="36"/>
          <w:szCs w:val="22"/>
          <w:lang w:val="ru-RU" w:eastAsia="en-US" w:bidi="ar-SA"/>
        </w:rPr>
        <w:t>※问题及分析※</w:t>
      </w:r>
    </w:p>
    <w:p w14:paraId="32E0469C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一是原料分散，收集储运的运输成本高，碳排放依然较高。目前，作为绿色甲醇原料的生物质燃料主要来源于各类秸秆（如水稻秸秆、玉米秸秆、芦竹秸秆等）。由于上海农业用地碎片化、外省市输入量大，运输距离长，秸秆收集、储运的成本较高，且运输过程中的碳消耗较大。这将影响绿甲醇生产过程中对碳足迹的低碳评估，进而影响绿色认证的合规性。</w:t>
      </w:r>
    </w:p>
    <w:p w14:paraId="40875579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二是原料量和质的不稳定，导致产业链的产供稳定性不足。上海及外省市输入的秸秆来源较为分散，且燃料热值差异显著，导致绿色甲醇生产的质量稳定性差，绿色认证的复杂度增加。因此，本地绿色甲醇产业链的稳定性亟待提升。</w:t>
      </w:r>
    </w:p>
    <w:p w14:paraId="770EB53F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三是本地传统农业用地资源不足，难以大规模低碳种植高品质生物质燃料。上海农业用地在基本农田保护等政策限制下，无法大量用于种植高品质生物质燃料。长江口滨海湿地面积广阔，具有潜力，但新生地土壤肥力不足、盐碱化等问题导致种植成本较高。</w:t>
      </w:r>
    </w:p>
    <w:p w14:paraId="787EE0ED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Times New Roman" w:hAnsi="Times New Roman" w:eastAsia="Times New Roman" w:cs="Times New Roman"/>
          <w:b/>
          <w:color w:val="008000"/>
          <w:sz w:val="36"/>
          <w:szCs w:val="22"/>
          <w:lang w:val="ru-RU" w:eastAsia="en-US" w:bidi="ar-SA"/>
        </w:rPr>
        <w:t> </w:t>
      </w:r>
    </w:p>
    <w:p w14:paraId="455DE334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宋体" w:hAnsi="宋体" w:eastAsia="宋体" w:cs="宋体"/>
          <w:b/>
          <w:color w:val="008000"/>
          <w:sz w:val="36"/>
          <w:szCs w:val="22"/>
          <w:lang w:val="ru-RU" w:eastAsia="en-US" w:bidi="ar-SA"/>
        </w:rPr>
        <w:t>――――――――――――――――――――――</w:t>
      </w:r>
    </w:p>
    <w:p w14:paraId="53E57BF2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宋体" w:hAnsi="宋体" w:eastAsia="宋体" w:cs="宋体"/>
          <w:b/>
          <w:color w:val="008000"/>
          <w:sz w:val="36"/>
          <w:szCs w:val="22"/>
          <w:lang w:val="ru-RU" w:eastAsia="en-US" w:bidi="ar-SA"/>
        </w:rPr>
        <w:t>※建议※</w:t>
      </w:r>
    </w:p>
    <w:p w14:paraId="4D3256AF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'Times New Roman',serif" w:eastAsia="'Times New Roman',serif" w:cs="'Times New Roman',serif"/>
          <w:sz w:val="30"/>
          <w:szCs w:val="22"/>
          <w:lang w:val="ru-RU" w:eastAsia="en-US" w:bidi="ar-SA"/>
        </w:rPr>
        <w:t xml:space="preserve">     针对上述问题，提出以下政策建议，以服务上海国际航运中心建设需求，构建绿色甲醇全产业链体系，科技赋能，提升生物质燃料资源基地的自主可控性：</w:t>
      </w:r>
    </w:p>
    <w:p w14:paraId="1DFDDDE0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一是充分挖掘科技成果，支持高产生物质燃料的研发。上海具备丰富的沿海滩涂资源，具有极大潜力。针对沿海滩涂新生地区域盐碱化、土壤熟化度低等问题，上海的高校和科研院所已长期开展土壤生态修复、熟化技术的研究，培育了一批兼具土壤修复功能和生物质燃料功能的作物品种。建议进一步加大对相关技术的研究与应用支持，为高产、低碳的生物质燃料种植提供技术保障。</w:t>
      </w:r>
    </w:p>
    <w:p w14:paraId="6EB9DE4E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二是制定顶层设计，统筹推进绿色甲醇生物燃料种植基地建设。当前上海的滨海滩涂资源在管理上存在一定的分散性，造成土地资源的整合与协调难度较大。建议由上海市农业委员会牵头，联合自然资源局、水务局等相关部门，形成统一的协调机制，围绕绿色甲醇生物燃料种植目标，推动滨海滩涂资源的集中利用，建设大规模、工业化的生物质燃料种植基地。</w:t>
      </w:r>
    </w:p>
    <w:p w14:paraId="2BC55B0F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三是鼓励构建多元化产业体系，推动资源协同利用。建议在绿色甲醇生产过程中，进一步挖掘生物质燃料的副产品，拓展产业链。如鼓励将生物质燃料生产的副产品转化为养殖饲料，实现多产业协同效应。特别是在横沙岛等地，可以与当地养殖业结合，推动绿色天然养殖，提升种植和养殖的综合效益，同时提高土地的生态效益。</w:t>
      </w:r>
    </w:p>
    <w:p w14:paraId="3CE491E4">
      <w:pPr>
        <w:pStyle w:val="11"/>
        <w:spacing w:after="200" w:line="276" w:lineRule="auto"/>
        <w:rPr>
          <w:rStyle w:val="7"/>
          <w:rFonts w:ascii="Times New Roman" w:hAnsi="Times New Roman" w:eastAsia="Times New Roman" w:cs="Times New Roman"/>
          <w:sz w:val="22"/>
          <w:szCs w:val="22"/>
          <w:lang w:val="ru-RU" w:eastAsia="en-US" w:bidi="ar-SA"/>
        </w:rPr>
      </w:pPr>
      <w:r>
        <w:rPr>
          <w:rStyle w:val="7"/>
          <w:rFonts w:ascii="仿宋" w:hAnsi="楷体" w:eastAsia="楷体" w:cs="楷体"/>
          <w:b/>
          <w:sz w:val="30"/>
          <w:szCs w:val="22"/>
          <w:lang w:val="ru-RU" w:eastAsia="en-US" w:bidi="ar-SA"/>
        </w:rPr>
        <w:t xml:space="preserve">    四是加强政策引导与资金支持，推动绿色甲醇产业链的长期可持续发展。对于绿色甲醇产业链的建设，政府可出台专项扶持政策，如对绿色甲醇生产企业和种植基地提供税收减免、金融支持等，同时加大对绿色甲醇认证过程中的低碳技术研发投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'Times New Roman',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77AF3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E999">
    <w:pPr>
      <w:pStyle w:val="4"/>
      <w:pBdr>
        <w:bottom w:val="none" w:color="auto" w:sz="0" w:space="0"/>
      </w:pBdr>
      <w:jc w:val="right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9E2DC0"/>
    <w:rsid w:val="3FF336CA"/>
    <w:rsid w:val="6E5FC62B"/>
    <w:rsid w:val="7FFB4CA1"/>
    <w:rsid w:val="DFEFC5AC"/>
    <w:rsid w:val="EE7C0DAF"/>
    <w:rsid w:val="FCEEB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paragraph" w:customStyle="1" w:styleId="10">
    <w:name w:val="Normal_0"/>
    <w:qFormat/>
    <w:uiPriority w:val="0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Normal_1"/>
    <w:qFormat/>
    <w:uiPriority w:val="0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C535-EE8D-4C9F-BBD9-519E25D7D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SHZX</Company>
  <Pages>4</Pages>
  <Words>1721</Words>
  <Characters>1763</Characters>
  <Lines>3</Lines>
  <Paragraphs>1</Paragraphs>
  <TotalTime>13</TotalTime>
  <ScaleCrop>false</ScaleCrop>
  <LinksUpToDate>false</LinksUpToDate>
  <CharactersWithSpaces>1869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2023-12-28T01:06:00Z</dcterms:created>
  <dc:creator>张丁</dc:creator>
  <cp:lastModifiedBy>WPS_1742806582</cp:lastModifiedBy>
  <cp:lastPrinted>2013-01-11T04:21:00Z</cp:lastPrinted>
  <dcterms:modified xsi:type="dcterms:W3CDTF">2025-03-27T01:45:09Z</dcterms:modified>
  <dc:title>中国人民政治协商会议上海市第十届委员会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eyJoZGlkIjoiYzNiNmU3ODBhNjNmMzM1ZWY3YmI4MzliOTY3NGMxNzMiLCJ1c2VySWQiOiIxNjkwMzU1OTI0In0=</vt:lpwstr>
  </property>
  <property fmtid="{D5CDD505-2E9C-101B-9397-08002B2CF9AE}" pid="4" name="ICV">
    <vt:lpwstr>C4198F44356C443D904AD069239FAA6E_12</vt:lpwstr>
  </property>
</Properties>
</file>