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64"/>
        </w:tabs>
        <w:adjustRightInd w:val="0"/>
        <w:snapToGrid w:val="0"/>
        <w:spacing w:before="65" w:beforeLines="20"/>
      </w:pPr>
      <w:r>
        <w:rPr>
          <w:rFonts w:hint="eastAsia"/>
          <w:color w:val="FF0000"/>
        </w:rPr>
        <w:t>提案内容：</w:t>
      </w:r>
    </w:p>
    <w:p>
      <w:pPr>
        <w:spacing w:before="65"/>
        <w:jc w:val="center"/>
        <w:rPr>
          <w:rFonts w:ascii="黑体" w:hAnsi="黑体" w:eastAsia="黑体"/>
          <w:b/>
          <w:sz w:val="44"/>
          <w:szCs w:val="44"/>
        </w:rPr>
      </w:pPr>
      <w:bookmarkStart w:id="0" w:name="casetitle2"/>
      <w:r>
        <w:rPr>
          <w:rFonts w:ascii="黑体" w:hAnsi="黑体" w:eastAsia="黑体"/>
          <w:b/>
          <w:sz w:val="44"/>
          <w:szCs w:val="44"/>
        </w:rPr>
        <w:t>关于完善我市各涉农区农业“数字化”和“智能化”建设的建议</w:t>
      </w:r>
      <w:bookmarkEnd w:id="0"/>
    </w:p>
    <w:p>
      <w:pPr>
        <w:spacing w:before="65"/>
        <w:jc w:val="center"/>
        <w:rPr>
          <w:rFonts w:ascii="黑体" w:hAnsi="黑体" w:eastAsia="黑体"/>
          <w:b/>
          <w:sz w:val="44"/>
          <w:szCs w:val="44"/>
        </w:rPr>
      </w:pPr>
    </w:p>
    <w:p>
      <w:pPr>
        <w:tabs>
          <w:tab w:val="right" w:pos="9332"/>
        </w:tabs>
        <w:spacing w:before="65" w:beforeLines="20"/>
        <w:rPr>
          <w:b/>
          <w:color w:val="FF0000"/>
          <w:sz w:val="36"/>
          <w:szCs w:val="36"/>
        </w:rPr>
      </w:pPr>
    </w:p>
    <w:p>
      <w:pPr>
        <w:pStyle w:val="15"/>
        <w:rPr>
          <w:rStyle w:val="7"/>
          <w:rFonts w:ascii="Calibri" w:hAnsi="Calibri" w:eastAsia="宋体" w:cs="Times New Roman"/>
        </w:rPr>
      </w:pPr>
      <w:r>
        <w:rPr>
          <w:rStyle w:val="7"/>
          <w:rFonts w:ascii="宋体" w:hAnsi="宋体" w:eastAsia="宋体" w:cs="宋体"/>
          <w:b/>
          <w:color w:val="FF0000"/>
          <w:sz w:val="36"/>
        </w:rPr>
        <w:t>※背景情况※</w:t>
      </w:r>
    </w:p>
    <w:p>
      <w:pPr>
        <w:pStyle w:val="15"/>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党的二十大提出的建设农业强国是中国建设社会主义现代化强国的必经之路，必须立足中国国情，坚持中国道路，采用分阶段稳步推进和分地区、分产业、分主体的分类推进战略，走具有中国</w:t>
      </w:r>
      <w:bookmarkStart w:id="1" w:name="_GoBack"/>
      <w:bookmarkEnd w:id="1"/>
      <w:r>
        <w:rPr>
          <w:rStyle w:val="7"/>
          <w:rFonts w:hint="eastAsia" w:ascii="仿宋_GB2312" w:hAnsi="仿宋_GB2312" w:eastAsia="仿宋_GB2312" w:cs="仿宋_GB2312"/>
          <w:sz w:val="32"/>
          <w:szCs w:val="32"/>
        </w:rPr>
        <w:t>特色的农业强国之路。</w:t>
      </w:r>
    </w:p>
    <w:p>
      <w:pPr>
        <w:pStyle w:val="15"/>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近年来，上海各涉农区应当紧跟数字经济发展大潮、顺势而为，积极推动数字、智能技术与农业产业融合，赋能乡村产业转型升级，驱动农业农村现代化发展，加快破解制约“三农”发展的基础性、全局性问题，有力促进农业生产智能化、绿色化发展。</w:t>
      </w:r>
    </w:p>
    <w:p>
      <w:pPr>
        <w:pStyle w:val="15"/>
        <w:rPr>
          <w:rStyle w:val="7"/>
          <w:rFonts w:ascii="Calibri" w:hAnsi="Calibri" w:eastAsia="宋体" w:cs="Times New Roman"/>
        </w:rPr>
      </w:pPr>
      <w:r>
        <w:rPr>
          <w:rStyle w:val="7"/>
          <w:rFonts w:ascii="宋体" w:hAnsi="宋体" w:eastAsia="宋体" w:cs="宋体"/>
          <w:b/>
          <w:color w:val="FF0000"/>
          <w:sz w:val="36"/>
        </w:rPr>
        <w:t>――――――――――――――――――――――</w:t>
      </w:r>
    </w:p>
    <w:p>
      <w:pPr>
        <w:pStyle w:val="15"/>
        <w:rPr>
          <w:rStyle w:val="7"/>
          <w:rFonts w:ascii="Calibri" w:hAnsi="Calibri" w:eastAsia="宋体" w:cs="Times New Roman"/>
        </w:rPr>
      </w:pPr>
      <w:r>
        <w:rPr>
          <w:rStyle w:val="7"/>
          <w:rFonts w:ascii="宋体" w:hAnsi="宋体" w:eastAsia="宋体" w:cs="宋体"/>
          <w:b/>
          <w:color w:val="FF0000"/>
          <w:sz w:val="36"/>
        </w:rPr>
        <w:t>※问题及分析※</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、当前现状</w:t>
      </w:r>
    </w:p>
    <w:p>
      <w:pPr>
        <w:pStyle w:val="15"/>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以上海市金山区为例，作为上海西南涉农农业大区，高举“三个百里”重要指示，借助金山—上海农科院现代化先行区共建的东风，大力推进创新驱动乡村振兴发展战略，着力打造“田园五镇”一体化，全面落实农业数字化转型，数字赋能农业高质量发展的关键时刻。当前金山区农业数字化以“1+10+N”为体系架构，一是搭建一个数据基础底座，整合资源建立“上海金山数字三农云平台”，形成“一网”“一图”“一库”；二是建立10个镇级数字化建设管理资源体系，充分挖掘利用地域特色，形成长效管理机制；三是实现N个维度应用场景叠加，以线上补贴、农事追溯等应用丰富数字化监管服务场景，以智慧村庄、数字网格等应用丰富数字化乡村治理场景，以数字企业、智慧生产等应用丰富数字化产业融合场景。</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、存在的问题</w:t>
      </w:r>
    </w:p>
    <w:p>
      <w:pPr>
        <w:pStyle w:val="15"/>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从目前情况来看，上海各涉农各区在推进农业数字化、智慧化发展中还存在一些问题和不足，主要有以下几个方面：</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数字农业体系建设有待完善。</w:t>
      </w:r>
      <w:r>
        <w:rPr>
          <w:rStyle w:val="7"/>
          <w:rFonts w:hint="eastAsia" w:ascii="仿宋_GB2312" w:hAnsi="仿宋_GB2312" w:eastAsia="仿宋_GB2312" w:cs="仿宋_GB2312"/>
          <w:sz w:val="32"/>
          <w:szCs w:val="32"/>
        </w:rPr>
        <w:t>农业数据资源逻辑分散，数据自动感知能力弱、数据覆盖率较低，无法进一步挖掘农业数据的价值，同时，农业数据共享机制及数据监管机制尚未建立完善，影响数据的高效利用。</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rPr>
        <w:t>数字农业应用场景有待扩展。</w:t>
      </w:r>
      <w:r>
        <w:rPr>
          <w:rStyle w:val="7"/>
          <w:rFonts w:hint="eastAsia" w:ascii="仿宋_GB2312" w:hAnsi="仿宋_GB2312" w:eastAsia="仿宋_GB2312" w:cs="仿宋_GB2312"/>
          <w:sz w:val="32"/>
          <w:szCs w:val="32"/>
        </w:rPr>
        <w:t>尽管数字农业技术在促进农业高质量发展中取得了显著成效，其应用还面临着诸多困境和挑战，如数字农业相关数据的应用程度较为浅层，智慧农业相关技术应用停留在某个环节，数据的价值未能充分利用等。</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rPr>
        <w:t>数字农业区域集群有待发展。</w:t>
      </w:r>
      <w:r>
        <w:rPr>
          <w:rStyle w:val="7"/>
          <w:rFonts w:hint="eastAsia" w:ascii="仿宋_GB2312" w:hAnsi="仿宋_GB2312" w:eastAsia="仿宋_GB2312" w:cs="仿宋_GB2312"/>
          <w:sz w:val="32"/>
          <w:szCs w:val="32"/>
        </w:rPr>
        <w:t>上海各涉农区多以传统农业为主，数字农业企业相对较少，在物联网、大数据、人工智能方面的投入力度还不够，存在对软件重视不足、数据利用化不高、数据服务产品化不强等问题。数字农业企业高新技术以国外引进为主，数字化关键核心技术较为薄弱，智能化设备研发及专家数据模型尚未完善。</w:t>
      </w:r>
    </w:p>
    <w:p>
      <w:pPr>
        <w:pStyle w:val="15"/>
        <w:rPr>
          <w:rStyle w:val="7"/>
          <w:rFonts w:ascii="Calibri" w:hAnsi="Calibri" w:eastAsia="宋体" w:cs="Times New Roman"/>
        </w:rPr>
      </w:pPr>
      <w:r>
        <w:rPr>
          <w:rStyle w:val="7"/>
          <w:rFonts w:ascii="宋体" w:hAnsi="宋体" w:eastAsia="宋体" w:cs="宋体"/>
          <w:b/>
          <w:color w:val="FF0000"/>
          <w:sz w:val="36"/>
        </w:rPr>
        <w:t>――――――――――――――――――――――</w:t>
      </w:r>
    </w:p>
    <w:p>
      <w:pPr>
        <w:pStyle w:val="15"/>
        <w:rPr>
          <w:rStyle w:val="7"/>
          <w:rFonts w:ascii="Calibri" w:hAnsi="Calibri" w:eastAsia="宋体" w:cs="Times New Roman"/>
        </w:rPr>
      </w:pPr>
      <w:r>
        <w:rPr>
          <w:rStyle w:val="7"/>
          <w:rFonts w:ascii="宋体" w:hAnsi="宋体" w:eastAsia="宋体" w:cs="宋体"/>
          <w:b/>
          <w:color w:val="FF0000"/>
          <w:sz w:val="36"/>
        </w:rPr>
        <w:t>※建议※</w:t>
      </w:r>
    </w:p>
    <w:p>
      <w:pPr>
        <w:pStyle w:val="15"/>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针对目前存在的问题，建议从以下几方面对上海涉农区农业数字化、智能化建设开展进一步优化提升：</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注重强化数字农业顶层设计。</w:t>
      </w:r>
      <w:r>
        <w:rPr>
          <w:rStyle w:val="7"/>
          <w:rFonts w:hint="eastAsia" w:ascii="仿宋_GB2312" w:hAnsi="仿宋_GB2312" w:eastAsia="仿宋_GB2312" w:cs="仿宋_GB2312"/>
          <w:sz w:val="32"/>
          <w:szCs w:val="32"/>
        </w:rPr>
        <w:t>建议由各涉农区区农业农村委与区网信办联合，结合自身特色，勾画全区数字农业的发展蓝图，形成农业数字化转型行动方案。在战略规划方面，加强对农业数字化发展的战略指导、制度设计、政策支撑。在基础设施方面，统筹推动农业基础设施数字化升级，加快推进农村五通五有、冷链物流、农产品加工等传统基础设施数字化建设，保障农业数字化系统装备的相互配合与高效应用。在资源整合方面，建立数据架构体系及共享制度，加强农业数据资源汇聚、整合、共享和利用，打破地区、行业和部门限制，消除“数字鸿沟”。</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2、充分挖掘数字农业应用场景。</w:t>
      </w:r>
      <w:r>
        <w:rPr>
          <w:rStyle w:val="7"/>
          <w:rFonts w:hint="eastAsia" w:ascii="仿宋_GB2312" w:hAnsi="仿宋_GB2312" w:eastAsia="仿宋_GB2312" w:cs="仿宋_GB2312"/>
          <w:sz w:val="32"/>
          <w:szCs w:val="32"/>
        </w:rPr>
        <w:t>在数据处理方面，以应用场景驱动数据分析为目的，达到自动化感知、精准化生产、可视化管理、智能化决策的功能效果，形成“数据挖掘+数据碰撞+数据画像+数据穿透”的应用模式，提升数据挖掘深度、分析强度、利用广度、研判准度。在场景融合方面，充分结合农业监管、生产管理、产业融合、经营决策、宏观调控等领域的应用场景，将农业数字化转型化“为人而转”、“转而新生”，让信息“落地”，切实通过信息化手段为管理者提高效率、为经营者提升效益，为消费者提供服务。</w:t>
      </w:r>
    </w:p>
    <w:p>
      <w:pPr>
        <w:pStyle w:val="15"/>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lang w:val="en-US" w:eastAsia="zh-CN"/>
        </w:rPr>
        <w:t>3、持续促进农业产业数字赋能。</w:t>
      </w:r>
      <w:r>
        <w:rPr>
          <w:rStyle w:val="7"/>
          <w:rFonts w:hint="eastAsia" w:ascii="仿宋_GB2312" w:hAnsi="仿宋_GB2312" w:eastAsia="仿宋_GB2312" w:cs="仿宋_GB2312"/>
          <w:sz w:val="32"/>
          <w:szCs w:val="32"/>
        </w:rPr>
        <w:t>在应用示范方面，支持数字农业企业开展数字化创新示范，充分发挥产业带动和示范引领作用，以点带面推动各涉农区优势主导产业及重点企业的数字化及智能化应用。在融合推广方面，强化对数字化农业装备、工厂化高效生产技术、智能生产机械等技术的研究应用，充分融合“数字+种养”、“数字+加工”、“数字+销售”、“数字+仓储”、“数字+运输”等全产业链数字化手段，推动农业农村现代化综合发展。</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iNmU3ODBhNjNmMzM1ZWY3YmI4MzliOTY3NGMxNzMifQ=="/>
  </w:docVars>
  <w:rsids>
    <w:rsidRoot w:val="00000000"/>
    <w:rsid w:val="46F7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153"/>
        <w:tab w:val="right" w:pos="8306"/>
      </w:tabs>
      <w:snapToGrid w:val="0"/>
    </w:pPr>
    <w:rPr>
      <w:rFonts w:cs="Times New Roman"/>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uiPriority w:val="99"/>
    <w:pPr>
      <w:spacing w:before="100" w:beforeAutospacing="1" w:after="100" w:afterAutospacing="1"/>
    </w:pPr>
  </w:style>
  <w:style w:type="table" w:styleId="6">
    <w:name w:val="Table Grid"/>
    <w:basedOn w:val="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HTML Top of Form"/>
    <w:basedOn w:val="1"/>
    <w:next w:val="1"/>
    <w:link w:val="10"/>
    <w:semiHidden/>
    <w:unhideWhenUsed/>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uiPriority w:val="99"/>
    <w:rPr>
      <w:rFonts w:ascii="Arial" w:hAnsi="Arial" w:eastAsia="宋体" w:cs="Arial"/>
      <w:vanish/>
      <w:kern w:val="0"/>
      <w:sz w:val="16"/>
      <w:szCs w:val="16"/>
    </w:rPr>
  </w:style>
  <w:style w:type="paragraph" w:customStyle="1" w:styleId="11">
    <w:name w:val="HTML Bottom of Form"/>
    <w:basedOn w:val="1"/>
    <w:next w:val="1"/>
    <w:link w:val="12"/>
    <w:semiHidden/>
    <w:unhideWhenUsed/>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uiPriority w:val="99"/>
    <w:rPr>
      <w:rFonts w:ascii="Arial" w:hAnsi="Arial" w:eastAsia="宋体" w:cs="Arial"/>
      <w:vanish/>
      <w:kern w:val="0"/>
      <w:sz w:val="16"/>
      <w:szCs w:val="16"/>
    </w:rPr>
  </w:style>
  <w:style w:type="character" w:customStyle="1" w:styleId="13">
    <w:name w:val="页眉 字符"/>
    <w:link w:val="3"/>
    <w:uiPriority w:val="99"/>
    <w:rPr>
      <w:rFonts w:ascii="宋体" w:hAnsi="宋体" w:cs="宋体"/>
      <w:sz w:val="18"/>
      <w:szCs w:val="18"/>
    </w:rPr>
  </w:style>
  <w:style w:type="character" w:customStyle="1" w:styleId="14">
    <w:name w:val="页脚 字符"/>
    <w:link w:val="2"/>
    <w:uiPriority w:val="99"/>
    <w:rPr>
      <w:rFonts w:ascii="宋体" w:hAnsi="宋体" w:cs="宋体"/>
      <w:sz w:val="18"/>
      <w:szCs w:val="18"/>
    </w:rPr>
  </w:style>
  <w:style w:type="paragraph" w:customStyle="1" w:styleId="15">
    <w:name w:val="Normal_0"/>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2099</Words>
  <Characters>2180</Characters>
  <Lines>5</Lines>
  <Paragraphs>1</Paragraphs>
  <TotalTime>70</TotalTime>
  <ScaleCrop>false</ScaleCrop>
  <LinksUpToDate>false</LinksUpToDate>
  <CharactersWithSpaces>2300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2021-04-01T05:38:00Z</dcterms:created>
  <dc:creator>2</dc:creator>
  <cp:lastModifiedBy>yms</cp:lastModifiedBy>
  <dcterms:modified xsi:type="dcterms:W3CDTF">2023-06-05T06:19:43Z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6A8E5D97AC17428AA9191DD72E4F846F</vt:lpwstr>
  </property>
</Properties>
</file>