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关于加快推进本市农业科技创新工作的若干意见</w:t>
      </w:r>
    </w:p>
    <w:p>
      <w:pPr>
        <w:ind w:firstLine="627" w:firstLineChars="196"/>
        <w:rPr>
          <w:rFonts w:ascii="仿宋_GB2312" w:hAns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7" w:firstLineChars="196"/>
      </w:pPr>
      <w:r>
        <w:rPr>
          <w:rFonts w:hint="eastAsia" w:ascii="仿宋_GB2312" w:hAnsi="仿宋_GB2312" w:eastAsia="仿宋_GB2312"/>
          <w:sz w:val="32"/>
          <w:szCs w:val="32"/>
        </w:rPr>
        <w:t>为加强本市</w:t>
      </w:r>
      <w:r>
        <w:rPr>
          <w:rFonts w:ascii="仿宋_GB2312" w:hAnsi="仿宋_GB2312" w:eastAsia="仿宋_GB2312"/>
          <w:sz w:val="32"/>
          <w:szCs w:val="32"/>
        </w:rPr>
        <w:t>农业科</w:t>
      </w:r>
      <w:r>
        <w:rPr>
          <w:rFonts w:ascii="仿宋_GB2312" w:eastAsia="仿宋_GB2312"/>
          <w:sz w:val="32"/>
          <w:szCs w:val="32"/>
        </w:rPr>
        <w:t>技创新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助推我国实现高水平农业科技自立自强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特提出如下意见。</w:t>
      </w:r>
    </w:p>
    <w:p>
      <w:pPr>
        <w:pStyle w:val="5"/>
        <w:adjustRightInd w:val="0"/>
        <w:snapToGrid w:val="0"/>
        <w:spacing w:before="0" w:after="0" w:line="560" w:lineRule="exact"/>
        <w:ind w:firstLine="629" w:firstLineChars="196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一、总体要求</w:t>
      </w:r>
    </w:p>
    <w:p>
      <w:pPr>
        <w:pStyle w:val="6"/>
        <w:adjustRightInd w:val="0"/>
        <w:snapToGrid w:val="0"/>
        <w:spacing w:before="0" w:after="0" w:line="560" w:lineRule="exact"/>
        <w:ind w:firstLine="629" w:firstLineChars="196"/>
        <w:rPr>
          <w:rFonts w:ascii="楷体_GB2312" w:eastAsia="楷体_GB2312"/>
        </w:rPr>
      </w:pPr>
      <w:r>
        <w:rPr>
          <w:rFonts w:hint="eastAsia" w:ascii="楷体_GB2312" w:eastAsia="楷体_GB2312"/>
        </w:rPr>
        <w:t>（一）整体思路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以习近平新时代中国特色社会主义思想为指导，深入实施乡村振兴</w:t>
      </w:r>
      <w:r>
        <w:rPr>
          <w:rFonts w:ascii="仿宋_GB2312" w:hAnsi="仿宋_GB2312" w:eastAsia="仿宋_GB2312"/>
          <w:sz w:val="32"/>
          <w:szCs w:val="32"/>
        </w:rPr>
        <w:t>战略、</w:t>
      </w:r>
      <w:r>
        <w:rPr>
          <w:rFonts w:hint="eastAsia" w:ascii="仿宋_GB2312" w:hAnsi="仿宋_GB2312" w:eastAsia="仿宋_GB2312"/>
          <w:sz w:val="32"/>
          <w:szCs w:val="32"/>
        </w:rPr>
        <w:t>创新驱动发展战略，全面贯彻党的二十大会议精神，立足上海超大城市特点，发挥教育科技人才的基础性战略性支撑作用，依靠科技创新和体制机制创新</w:t>
      </w:r>
      <w:r>
        <w:rPr>
          <w:rFonts w:ascii="仿宋_GB2312" w:hAnsi="仿宋_GB2312" w:eastAsia="仿宋_GB2312"/>
          <w:sz w:val="32"/>
          <w:szCs w:val="32"/>
        </w:rPr>
        <w:t>“</w:t>
      </w:r>
      <w:r>
        <w:rPr>
          <w:rFonts w:hint="eastAsia" w:ascii="仿宋_GB2312" w:hAnsi="仿宋_GB2312" w:eastAsia="仿宋_GB2312"/>
          <w:sz w:val="32"/>
          <w:szCs w:val="32"/>
        </w:rPr>
        <w:t>双轮驱动</w:t>
      </w:r>
      <w:r>
        <w:rPr>
          <w:rFonts w:ascii="仿宋_GB2312" w:hAnsi="仿宋_GB2312" w:eastAsia="仿宋_GB2312"/>
          <w:sz w:val="32"/>
          <w:szCs w:val="32"/>
        </w:rPr>
        <w:t>”</w:t>
      </w:r>
      <w:r>
        <w:rPr>
          <w:rFonts w:hint="eastAsia" w:ascii="仿宋_GB2312" w:hAnsi="仿宋_GB2312" w:eastAsia="仿宋_GB2312"/>
          <w:sz w:val="32"/>
          <w:szCs w:val="32"/>
        </w:rPr>
        <w:t>，建立健全农业农村科技创新全过程全链条，促进学科交叉融合创新，突破关键核心技术，强化成果转化应用，</w:t>
      </w:r>
      <w:r>
        <w:rPr>
          <w:rFonts w:hint="eastAsia" w:ascii="仿宋_GB2312" w:eastAsia="仿宋_GB2312"/>
          <w:sz w:val="32"/>
          <w:szCs w:val="32"/>
        </w:rPr>
        <w:t>积极培育未来产业，加快形成新质生产力</w:t>
      </w:r>
      <w:r>
        <w:rPr>
          <w:rFonts w:hint="eastAsia" w:ascii="仿宋_GB2312" w:hAnsi="仿宋_GB2312" w:eastAsia="仿宋_GB2312"/>
          <w:sz w:val="32"/>
          <w:szCs w:val="32"/>
        </w:rPr>
        <w:t>，为上海率先实现农业农村现代化和建设农业强国提供强劲动力。</w:t>
      </w:r>
    </w:p>
    <w:p>
      <w:pPr>
        <w:pStyle w:val="6"/>
        <w:adjustRightInd w:val="0"/>
        <w:snapToGrid w:val="0"/>
        <w:spacing w:before="0" w:after="0" w:line="560" w:lineRule="exact"/>
        <w:ind w:firstLine="629" w:firstLineChars="196"/>
        <w:rPr>
          <w:rFonts w:ascii="楷体_GB2312" w:eastAsia="楷体_GB2312"/>
        </w:rPr>
      </w:pPr>
      <w:bookmarkStart w:id="0" w:name="_Toc87955395"/>
      <w:bookmarkEnd w:id="0"/>
      <w:bookmarkStart w:id="1" w:name="_Toc87955394"/>
      <w:bookmarkEnd w:id="1"/>
      <w:r>
        <w:rPr>
          <w:rFonts w:hint="eastAsia" w:ascii="楷体_GB2312" w:eastAsia="楷体_GB2312"/>
        </w:rPr>
        <w:t>（二）主要目标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瞄准世界农业科技前沿，围绕国家重大战略和上海重大需求，构建涉农高校、科研院所、企业产学研紧密合作的新型创新体系，推动</w:t>
      </w:r>
      <w:r>
        <w:rPr>
          <w:rFonts w:ascii="仿宋_GB2312" w:hAnsi="仿宋_GB2312" w:eastAsia="仿宋_GB2312"/>
          <w:sz w:val="32"/>
          <w:szCs w:val="32"/>
        </w:rPr>
        <w:t>改革构建新型研发机构，</w:t>
      </w:r>
      <w:r>
        <w:rPr>
          <w:rFonts w:hint="eastAsia" w:ascii="仿宋_GB2312" w:hAnsi="仿宋_GB2312" w:eastAsia="仿宋_GB2312"/>
          <w:sz w:val="32"/>
          <w:szCs w:val="32"/>
        </w:rPr>
        <w:t>集聚高层次人才队伍，放权松绑激发创新活力，提升科技创新效能，深入推进有组织科研，突破“卡脖子”技术，抢占农业科技制高点，促进农业科技成果转化应用，布局新赛道和未来产业，打造农业科技创新高地、人才高地，大幅度提升上海农业科技创新策源能力和水平，引领</w:t>
      </w:r>
      <w:r>
        <w:rPr>
          <w:rFonts w:ascii="仿宋_GB2312" w:hAnsi="仿宋_GB2312" w:eastAsia="仿宋_GB2312"/>
          <w:sz w:val="32"/>
          <w:szCs w:val="32"/>
        </w:rPr>
        <w:t>支撑</w:t>
      </w:r>
      <w:r>
        <w:rPr>
          <w:rFonts w:hint="eastAsia" w:ascii="仿宋_GB2312" w:hAnsi="仿宋_GB2312" w:eastAsia="仿宋_GB2312"/>
          <w:sz w:val="32"/>
          <w:szCs w:val="32"/>
        </w:rPr>
        <w:t>上海</w:t>
      </w:r>
      <w:r>
        <w:rPr>
          <w:rFonts w:ascii="仿宋_GB2312" w:hAnsi="仿宋_GB2312" w:eastAsia="仿宋_GB2312"/>
          <w:sz w:val="32"/>
          <w:szCs w:val="32"/>
        </w:rPr>
        <w:t>都市现代农业高质量发展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sz w:val="32"/>
          <w:szCs w:val="32"/>
        </w:rPr>
        <w:t>到20</w:t>
      </w:r>
      <w:r>
        <w:rPr>
          <w:rFonts w:ascii="仿宋_GB2312" w:hAnsi="仿宋_GB2312" w:eastAsia="仿宋_GB2312"/>
          <w:sz w:val="32"/>
          <w:szCs w:val="32"/>
        </w:rPr>
        <w:t>30</w:t>
      </w:r>
      <w:r>
        <w:rPr>
          <w:rFonts w:hint="eastAsia" w:ascii="仿宋_GB2312" w:hAnsi="仿宋_GB2312" w:eastAsia="仿宋_GB2312"/>
          <w:sz w:val="32"/>
          <w:szCs w:val="32"/>
        </w:rPr>
        <w:t>年，农业科技自主创新能力实现较大提升，科技应用水平不断提高，农业科技创新环境进一步优化，</w:t>
      </w:r>
      <w:r>
        <w:rPr>
          <w:rFonts w:ascii="仿宋_GB2312" w:hAnsi="仿宋_GB2312" w:eastAsia="仿宋_GB2312"/>
          <w:sz w:val="32"/>
          <w:szCs w:val="32"/>
        </w:rPr>
        <w:t>构建新型研发机构3-5</w:t>
      </w:r>
      <w:r>
        <w:rPr>
          <w:rFonts w:hint="eastAsia" w:ascii="仿宋_GB2312" w:hAnsi="仿宋_GB2312" w:eastAsia="仿宋_GB2312"/>
          <w:sz w:val="32"/>
          <w:szCs w:val="32"/>
        </w:rPr>
        <w:t>家，培育农业</w:t>
      </w:r>
      <w:r>
        <w:rPr>
          <w:rFonts w:ascii="仿宋_GB2312" w:hAnsi="仿宋_GB2312" w:eastAsia="仿宋_GB2312"/>
          <w:sz w:val="32"/>
          <w:szCs w:val="32"/>
        </w:rPr>
        <w:t>产业领域上市企业</w:t>
      </w:r>
      <w:r>
        <w:rPr>
          <w:rFonts w:hint="eastAsia" w:ascii="仿宋_GB2312" w:hAnsi="仿宋_GB2312" w:eastAsia="仿宋_GB2312"/>
          <w:sz w:val="32"/>
          <w:szCs w:val="32"/>
        </w:rPr>
        <w:t>5-8家，农业科技进步贡献率达到82%，继续在全国保持领先。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在农作物新品种、智能农业装备、农业生物制品等领域形成</w:t>
      </w:r>
      <w:r>
        <w:rPr>
          <w:rFonts w:ascii="仿宋_GB2312" w:hAnsi="仿宋_GB2312" w:eastAsia="仿宋_GB2312"/>
          <w:sz w:val="32"/>
          <w:szCs w:val="32"/>
          <w:highlight w:val="none"/>
        </w:rPr>
        <w:t>50项以上具有自主知识产权的技术和产品，培育一批涉农高新技术企业。农业科技成果转化应用取得新成效，服务支撑现代种业、食味稻米、绿色蔬菜、特色瓜果、都市花卉、生鲜乳业、功能食品等农业产业集群高质量发展，重大成果转化应用50项以上，成果输出30项以上。</w:t>
      </w:r>
    </w:p>
    <w:p>
      <w:pPr>
        <w:pStyle w:val="5"/>
        <w:adjustRightInd w:val="0"/>
        <w:snapToGrid w:val="0"/>
        <w:spacing w:before="0" w:after="0" w:line="560" w:lineRule="exact"/>
        <w:ind w:firstLine="629" w:firstLineChars="196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二、优化</w:t>
      </w:r>
      <w:r>
        <w:rPr>
          <w:rFonts w:ascii="黑体" w:hAnsi="黑体" w:eastAsia="黑体"/>
        </w:rPr>
        <w:t>农业科技</w:t>
      </w:r>
      <w:r>
        <w:rPr>
          <w:rFonts w:hint="eastAsia" w:ascii="黑体" w:hAnsi="黑体" w:eastAsia="黑体"/>
        </w:rPr>
        <w:t>创新</w:t>
      </w:r>
      <w:r>
        <w:rPr>
          <w:rFonts w:hint="eastAsia" w:ascii="黑体" w:hAnsi="黑体" w:eastAsia="黑体"/>
          <w:lang w:eastAsia="zh-CN"/>
        </w:rPr>
        <w:t>布局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  <w:bookmarkStart w:id="2" w:name="OLE_LINK3"/>
      <w:bookmarkStart w:id="3" w:name="OLE_LINK4"/>
      <w:r>
        <w:rPr>
          <w:rFonts w:hint="eastAsia" w:ascii="仿宋_GB2312" w:hAnsi="仿宋_GB2312" w:eastAsia="仿宋_GB2312"/>
          <w:sz w:val="32"/>
          <w:szCs w:val="32"/>
        </w:rPr>
        <w:t xml:space="preserve">第一条  </w:t>
      </w:r>
      <w:r>
        <w:rPr>
          <w:rFonts w:hint="eastAsia" w:ascii="仿宋_GB2312" w:eastAsia="仿宋_GB2312"/>
          <w:sz w:val="32"/>
          <w:szCs w:val="32"/>
        </w:rPr>
        <w:t>聚焦定向育种、生物制造、温室制造和植物工厂等</w:t>
      </w:r>
      <w:bookmarkStart w:id="4" w:name="OLE_LINK1"/>
      <w:bookmarkStart w:id="5" w:name="OLE_LINK2"/>
      <w:r>
        <w:rPr>
          <w:rFonts w:hint="eastAsia" w:ascii="仿宋_GB2312" w:eastAsia="仿宋_GB2312"/>
          <w:sz w:val="32"/>
          <w:szCs w:val="32"/>
        </w:rPr>
        <w:t>农业科技新赛道</w:t>
      </w:r>
      <w:bookmarkEnd w:id="4"/>
      <w:bookmarkEnd w:id="5"/>
      <w:r>
        <w:rPr>
          <w:rFonts w:hint="eastAsia" w:ascii="仿宋_GB2312" w:eastAsia="仿宋_GB2312"/>
          <w:sz w:val="32"/>
          <w:szCs w:val="32"/>
        </w:rPr>
        <w:t>，强化全链发展</w:t>
      </w:r>
      <w:r>
        <w:rPr>
          <w:rFonts w:ascii="仿宋_GB2312" w:eastAsia="仿宋_GB2312"/>
          <w:sz w:val="32"/>
          <w:szCs w:val="32"/>
        </w:rPr>
        <w:t>与赋能产业，</w:t>
      </w:r>
      <w:r>
        <w:rPr>
          <w:rFonts w:hint="eastAsia" w:ascii="仿宋_GB2312" w:eastAsia="仿宋_GB2312"/>
          <w:sz w:val="32"/>
          <w:szCs w:val="32"/>
        </w:rPr>
        <w:t>大力推进原始创新和应用技术创新，大幅</w:t>
      </w:r>
      <w:r>
        <w:rPr>
          <w:rFonts w:ascii="仿宋_GB2312" w:eastAsia="仿宋_GB2312"/>
          <w:sz w:val="32"/>
          <w:szCs w:val="32"/>
        </w:rPr>
        <w:t>提升创新策源能力</w:t>
      </w:r>
      <w:r>
        <w:rPr>
          <w:rFonts w:hint="eastAsia" w:ascii="仿宋_GB2312" w:eastAsia="仿宋_GB2312"/>
          <w:sz w:val="32"/>
          <w:szCs w:val="32"/>
        </w:rPr>
        <w:t>。</w:t>
      </w:r>
      <w:bookmarkEnd w:id="2"/>
      <w:bookmarkEnd w:id="3"/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第二条  围绕</w:t>
      </w:r>
      <w:r>
        <w:rPr>
          <w:rFonts w:hint="eastAsia" w:ascii="仿宋_GB2312" w:eastAsia="仿宋_GB2312"/>
          <w:sz w:val="32"/>
          <w:szCs w:val="32"/>
        </w:rPr>
        <w:t>农业科技新赛道，着力</w:t>
      </w:r>
      <w:r>
        <w:rPr>
          <w:rFonts w:ascii="仿宋_GB2312" w:eastAsia="仿宋_GB2312"/>
          <w:sz w:val="32"/>
          <w:szCs w:val="32"/>
        </w:rPr>
        <w:t>突破</w:t>
      </w:r>
      <w:r>
        <w:rPr>
          <w:rFonts w:hint="eastAsia" w:ascii="仿宋_GB2312" w:eastAsia="仿宋_GB2312"/>
          <w:sz w:val="32"/>
          <w:szCs w:val="32"/>
        </w:rPr>
        <w:t>植物</w:t>
      </w:r>
      <w:r>
        <w:rPr>
          <w:rFonts w:ascii="仿宋_GB2312" w:eastAsia="仿宋_GB2312"/>
          <w:sz w:val="32"/>
          <w:szCs w:val="32"/>
        </w:rPr>
        <w:t>基因编辑、</w:t>
      </w:r>
      <w:r>
        <w:rPr>
          <w:rFonts w:hint="eastAsia" w:ascii="仿宋_GB2312" w:eastAsia="仿宋_GB2312"/>
          <w:sz w:val="32"/>
          <w:szCs w:val="32"/>
        </w:rPr>
        <w:t>单倍体育种、小孢子育种、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RNA生物农药、动物重大疫病</w:t>
      </w:r>
      <w:r>
        <w:rPr>
          <w:rFonts w:hint="eastAsia" w:ascii="仿宋_GB2312" w:eastAsia="仿宋_GB2312"/>
          <w:sz w:val="32"/>
          <w:szCs w:val="32"/>
        </w:rPr>
        <w:t>及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新发传染病新型</w:t>
      </w:r>
      <w:bookmarkStart w:id="6" w:name="_GoBack"/>
      <w:bookmarkEnd w:id="6"/>
      <w:r>
        <w:rPr>
          <w:rFonts w:ascii="仿宋_GB2312" w:hAnsi="宋体" w:eastAsia="仿宋_GB2312" w:cs="Times New Roman"/>
          <w:kern w:val="0"/>
          <w:sz w:val="32"/>
          <w:szCs w:val="32"/>
        </w:rPr>
        <w:t>疫苗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生物合成蛋白</w:t>
      </w: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、</w:t>
      </w:r>
      <w:r>
        <w:rPr>
          <w:rFonts w:ascii="仿宋_GB2312" w:hAnsi="宋体" w:eastAsia="仿宋_GB2312" w:cs="Times New Roman"/>
          <w:kern w:val="0"/>
          <w:sz w:val="32"/>
          <w:szCs w:val="32"/>
        </w:rPr>
        <w:t>农业传感器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农业</w:t>
      </w:r>
      <w:r>
        <w:rPr>
          <w:rFonts w:ascii="仿宋_GB2312" w:eastAsia="仿宋_GB2312"/>
          <w:sz w:val="32"/>
          <w:szCs w:val="32"/>
        </w:rPr>
        <w:t>机器人</w:t>
      </w:r>
      <w:r>
        <w:rPr>
          <w:rFonts w:hint="eastAsia" w:ascii="仿宋_GB2312" w:eastAsia="仿宋_GB2312"/>
          <w:sz w:val="32"/>
          <w:szCs w:val="32"/>
        </w:rPr>
        <w:t>、智能</w:t>
      </w:r>
      <w:r>
        <w:rPr>
          <w:rFonts w:ascii="仿宋_GB2312" w:eastAsia="仿宋_GB2312"/>
          <w:sz w:val="32"/>
          <w:szCs w:val="32"/>
        </w:rPr>
        <w:t>温室、智能农机</w:t>
      </w:r>
      <w:r>
        <w:rPr>
          <w:rFonts w:hint="eastAsia" w:ascii="仿宋_GB2312" w:eastAsia="仿宋_GB2312"/>
          <w:sz w:val="32"/>
          <w:szCs w:val="32"/>
        </w:rPr>
        <w:t>装备</w:t>
      </w:r>
      <w:r>
        <w:rPr>
          <w:rFonts w:ascii="仿宋_GB2312" w:eastAsia="仿宋_GB2312"/>
          <w:sz w:val="32"/>
          <w:szCs w:val="32"/>
        </w:rPr>
        <w:t>平台等关键核心技术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研发</w:t>
      </w:r>
      <w:r>
        <w:rPr>
          <w:rFonts w:hint="eastAsia" w:ascii="仿宋_GB2312" w:eastAsia="仿宋_GB2312"/>
          <w:sz w:val="32"/>
          <w:szCs w:val="32"/>
        </w:rPr>
        <w:t>具有</w:t>
      </w:r>
      <w:r>
        <w:rPr>
          <w:rFonts w:ascii="仿宋_GB2312" w:eastAsia="仿宋_GB2312"/>
          <w:sz w:val="32"/>
          <w:szCs w:val="32"/>
        </w:rPr>
        <w:t>自主</w:t>
      </w:r>
      <w:r>
        <w:rPr>
          <w:rFonts w:hint="eastAsia" w:ascii="仿宋_GB2312" w:eastAsia="仿宋_GB2312"/>
          <w:sz w:val="32"/>
          <w:szCs w:val="32"/>
        </w:rPr>
        <w:t>知识</w:t>
      </w:r>
      <w:r>
        <w:rPr>
          <w:rFonts w:ascii="仿宋_GB2312" w:eastAsia="仿宋_GB2312"/>
          <w:sz w:val="32"/>
          <w:szCs w:val="32"/>
        </w:rPr>
        <w:t>产权的新</w:t>
      </w:r>
      <w:r>
        <w:rPr>
          <w:rFonts w:hint="eastAsia" w:ascii="仿宋_GB2312" w:eastAsia="仿宋_GB2312"/>
          <w:sz w:val="32"/>
          <w:szCs w:val="32"/>
        </w:rPr>
        <w:t>品种</w:t>
      </w:r>
      <w:r>
        <w:rPr>
          <w:rFonts w:ascii="仿宋_GB2312" w:eastAsia="仿宋_GB2312"/>
          <w:sz w:val="32"/>
          <w:szCs w:val="32"/>
        </w:rPr>
        <w:t>、新技术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新</w:t>
      </w:r>
      <w:r>
        <w:rPr>
          <w:rFonts w:hint="eastAsia" w:ascii="仿宋_GB2312" w:eastAsia="仿宋_GB2312"/>
          <w:sz w:val="32"/>
          <w:szCs w:val="32"/>
        </w:rPr>
        <w:t>装备、</w:t>
      </w:r>
      <w:r>
        <w:rPr>
          <w:rFonts w:ascii="仿宋_GB2312" w:eastAsia="仿宋_GB2312"/>
          <w:sz w:val="32"/>
          <w:szCs w:val="32"/>
        </w:rPr>
        <w:t>新产品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27" w:firstLineChars="196"/>
        <w:rPr>
          <w:rFonts w:hint="eastAsia" w:eastAsia="仿宋_GB2312" w:asciiTheme="minorHAnsi"/>
          <w:color w:val="auto"/>
          <w:sz w:val="21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highlight w:val="none"/>
        </w:rPr>
        <w:t>第三条</w:t>
      </w:r>
      <w:r>
        <w:rPr>
          <w:rFonts w:ascii="仿宋_GB2312" w:hAnsi="仿宋_GB2312" w:eastAsia="仿宋_GB2312"/>
          <w:sz w:val="32"/>
          <w:szCs w:val="32"/>
          <w:highlight w:val="none"/>
        </w:rPr>
        <w:t xml:space="preserve"> </w:t>
      </w:r>
      <w:r>
        <w:rPr>
          <w:rFonts w:ascii="仿宋_GB2312" w:hAnsi="仿宋_GB2312" w:eastAsia="仿宋_GB2312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eastAsia="zh-CN"/>
        </w:rPr>
        <w:t>加强农业科技创新，注重统筹规划，兼顾前瞻性和实效性，依托关键核心技术攻关、产业技术体系、产业提升、场景应用、人才培育等农业科技创新项目，推动上海都市现代绿色农业发展，抢占国家农业科技创新和战略新赛道。</w:t>
      </w:r>
    </w:p>
    <w:p>
      <w:pPr>
        <w:pStyle w:val="5"/>
        <w:adjustRightInd w:val="0"/>
        <w:snapToGrid w:val="0"/>
        <w:spacing w:before="0" w:after="0" w:line="560" w:lineRule="exact"/>
        <w:ind w:firstLine="629" w:firstLineChars="196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三、提升</w:t>
      </w:r>
      <w:r>
        <w:rPr>
          <w:rFonts w:ascii="黑体" w:hAnsi="黑体" w:eastAsia="黑体"/>
        </w:rPr>
        <w:t>科技创新</w:t>
      </w:r>
      <w:r>
        <w:rPr>
          <w:rFonts w:hint="eastAsia" w:ascii="黑体" w:hAnsi="黑体" w:eastAsia="黑体"/>
        </w:rPr>
        <w:t>平台基地能级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第四条  有序推进</w:t>
      </w:r>
      <w:r>
        <w:rPr>
          <w:rFonts w:hint="eastAsia" w:ascii="仿宋_GB2312" w:eastAsia="仿宋_GB2312"/>
          <w:sz w:val="32"/>
          <w:szCs w:val="32"/>
        </w:rPr>
        <w:t>农业科研机构改革</w:t>
      </w:r>
      <w:r>
        <w:rPr>
          <w:rFonts w:hint="eastAsia" w:ascii="仿宋_GB2312" w:hAnsi="仿宋_GB2312" w:eastAsia="仿宋_GB2312"/>
          <w:sz w:val="32"/>
          <w:szCs w:val="32"/>
        </w:rPr>
        <w:t>，试点开展农业</w:t>
      </w:r>
      <w:r>
        <w:rPr>
          <w:rFonts w:ascii="仿宋_GB2312" w:hAnsi="仿宋_GB2312" w:eastAsia="仿宋_GB2312"/>
          <w:sz w:val="32"/>
          <w:szCs w:val="32"/>
        </w:rPr>
        <w:t>科研院所</w:t>
      </w:r>
      <w:r>
        <w:rPr>
          <w:rFonts w:hint="eastAsia" w:ascii="仿宋_GB2312" w:hAnsi="仿宋_GB2312" w:eastAsia="仿宋_GB2312"/>
          <w:sz w:val="32"/>
          <w:szCs w:val="32"/>
        </w:rPr>
        <w:t>体制机制</w:t>
      </w:r>
      <w:r>
        <w:rPr>
          <w:rFonts w:ascii="仿宋_GB2312" w:hAnsi="仿宋_GB2312" w:eastAsia="仿宋_GB2312"/>
          <w:sz w:val="32"/>
          <w:szCs w:val="32"/>
        </w:rPr>
        <w:t>改革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形成可复制可推广经验，</w:t>
      </w:r>
      <w:r>
        <w:rPr>
          <w:rFonts w:hint="eastAsia" w:ascii="仿宋_GB2312" w:eastAsia="仿宋_GB2312"/>
          <w:sz w:val="32"/>
          <w:szCs w:val="32"/>
        </w:rPr>
        <w:t>整体推进上海市农业科研机构改革重组。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第五条  加快构建新型</w:t>
      </w:r>
      <w:r>
        <w:rPr>
          <w:rFonts w:ascii="仿宋_GB2312" w:hAnsi="仿宋_GB2312" w:eastAsia="仿宋_GB2312"/>
          <w:sz w:val="32"/>
          <w:szCs w:val="32"/>
        </w:rPr>
        <w:t>研发机构</w:t>
      </w:r>
      <w:r>
        <w:rPr>
          <w:rFonts w:hint="eastAsia" w:ascii="仿宋_GB2312" w:hAnsi="仿宋_GB2312" w:eastAsia="仿宋_GB2312"/>
          <w:sz w:val="32"/>
          <w:szCs w:val="32"/>
        </w:rPr>
        <w:t>，依托</w:t>
      </w:r>
      <w:r>
        <w:rPr>
          <w:rFonts w:hint="eastAsia" w:ascii="仿宋_GB2312" w:eastAsia="仿宋_GB2312"/>
          <w:sz w:val="32"/>
          <w:szCs w:val="32"/>
        </w:rPr>
        <w:t>国家级农业科技创新平台，面向定向</w:t>
      </w:r>
      <w:r>
        <w:rPr>
          <w:rFonts w:ascii="仿宋_GB2312" w:eastAsia="仿宋_GB2312"/>
          <w:sz w:val="32"/>
          <w:szCs w:val="32"/>
        </w:rPr>
        <w:t>育种、</w:t>
      </w:r>
      <w:r>
        <w:rPr>
          <w:rFonts w:hint="eastAsia" w:ascii="仿宋_GB2312" w:eastAsia="仿宋_GB2312"/>
          <w:sz w:val="32"/>
          <w:szCs w:val="32"/>
        </w:rPr>
        <w:t>智能</w:t>
      </w:r>
      <w:r>
        <w:rPr>
          <w:rFonts w:ascii="仿宋_GB2312" w:eastAsia="仿宋_GB2312"/>
          <w:sz w:val="32"/>
          <w:szCs w:val="32"/>
        </w:rPr>
        <w:t>农机、</w:t>
      </w:r>
      <w:r>
        <w:rPr>
          <w:rFonts w:hint="eastAsia" w:ascii="仿宋_GB2312" w:eastAsia="仿宋_GB2312"/>
          <w:sz w:val="32"/>
          <w:szCs w:val="32"/>
        </w:rPr>
        <w:t>植物工厂等农业</w:t>
      </w:r>
      <w:r>
        <w:rPr>
          <w:rFonts w:ascii="仿宋_GB2312" w:eastAsia="仿宋_GB2312"/>
          <w:sz w:val="32"/>
          <w:szCs w:val="32"/>
        </w:rPr>
        <w:t>科技</w:t>
      </w:r>
      <w:r>
        <w:rPr>
          <w:rFonts w:hint="eastAsia" w:ascii="仿宋_GB2312" w:eastAsia="仿宋_GB2312"/>
          <w:sz w:val="32"/>
          <w:szCs w:val="32"/>
        </w:rPr>
        <w:t>新赛道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推动建立投资主体多元化、管理制度现代化、运行机制市场化、用人机制灵活的独立法人机构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第六条  </w:t>
      </w:r>
      <w:r>
        <w:rPr>
          <w:rFonts w:hint="eastAsia" w:ascii="仿宋_GB2312" w:eastAsia="仿宋_GB2312"/>
          <w:sz w:val="32"/>
          <w:szCs w:val="32"/>
        </w:rPr>
        <w:t>鼓励引进重大创新平台基地落户上海，支持高校、科研院所和企业共建实体化运作的协同创新平台，支持农业企业建设技术创新中心、</w:t>
      </w:r>
      <w:r>
        <w:rPr>
          <w:rFonts w:ascii="仿宋_GB2312" w:eastAsia="仿宋_GB2312"/>
          <w:sz w:val="32"/>
          <w:szCs w:val="32"/>
        </w:rPr>
        <w:t>研发中心</w:t>
      </w:r>
      <w:r>
        <w:rPr>
          <w:rFonts w:hint="eastAsia" w:ascii="仿宋_GB2312" w:eastAsia="仿宋_GB2312"/>
          <w:sz w:val="32"/>
          <w:szCs w:val="32"/>
        </w:rPr>
        <w:t>，谋划构建农业生物制造、</w:t>
      </w:r>
      <w:r>
        <w:rPr>
          <w:rFonts w:ascii="仿宋_GB2312" w:eastAsia="仿宋_GB2312"/>
          <w:sz w:val="32"/>
          <w:szCs w:val="32"/>
        </w:rPr>
        <w:t>智慧农业等</w:t>
      </w:r>
      <w:r>
        <w:rPr>
          <w:rFonts w:hint="eastAsia" w:ascii="仿宋_GB2312" w:eastAsia="仿宋_GB2312"/>
          <w:sz w:val="32"/>
          <w:szCs w:val="32"/>
        </w:rPr>
        <w:t>市级</w:t>
      </w:r>
      <w:r>
        <w:rPr>
          <w:rFonts w:ascii="仿宋_GB2312" w:eastAsia="仿宋_GB2312"/>
          <w:sz w:val="32"/>
          <w:szCs w:val="32"/>
        </w:rPr>
        <w:t>创新中心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adjustRightInd w:val="0"/>
        <w:snapToGrid w:val="0"/>
        <w:spacing w:line="560" w:lineRule="exact"/>
        <w:ind w:firstLine="627" w:firstLineChars="196"/>
      </w:pPr>
      <w:r>
        <w:rPr>
          <w:rFonts w:hint="eastAsia" w:ascii="仿宋_GB2312" w:hAnsi="仿宋_GB2312" w:eastAsia="仿宋_GB2312"/>
          <w:sz w:val="32"/>
          <w:szCs w:val="32"/>
        </w:rPr>
        <w:t>第七条  打造农业创新创业</w:t>
      </w:r>
      <w:r>
        <w:rPr>
          <w:rFonts w:ascii="仿宋_GB2312" w:hAnsi="仿宋_GB2312" w:eastAsia="仿宋_GB2312"/>
          <w:sz w:val="32"/>
          <w:szCs w:val="32"/>
        </w:rPr>
        <w:t>高地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强化新品种、新技术、新装备、新业态、新模式的应用，创建一批科研成果集中示范展示和科技</w:t>
      </w:r>
      <w:r>
        <w:rPr>
          <w:rFonts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孵化基地，持续推进浦东、崇明、金山等国家农业科技园区发展，推进金山、松江、崇明等全国农业科技现代化先行县建设，推进浦东</w:t>
      </w:r>
      <w:r>
        <w:rPr>
          <w:rFonts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张江种谷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、奉贤农业科创谷等建设。</w:t>
      </w:r>
    </w:p>
    <w:p>
      <w:pPr>
        <w:pStyle w:val="5"/>
        <w:adjustRightInd w:val="0"/>
        <w:snapToGrid w:val="0"/>
        <w:spacing w:before="0" w:after="0" w:line="560" w:lineRule="exact"/>
        <w:ind w:firstLine="629" w:firstLineChars="196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</w:t>
      </w:r>
      <w:r>
        <w:rPr>
          <w:rFonts w:ascii="黑体" w:hAnsi="黑体" w:eastAsia="黑体"/>
        </w:rPr>
        <w:t>发挥</w:t>
      </w:r>
      <w:r>
        <w:rPr>
          <w:rFonts w:hint="eastAsia" w:ascii="黑体" w:hAnsi="黑体" w:eastAsia="黑体"/>
        </w:rPr>
        <w:t>企业</w:t>
      </w:r>
      <w:r>
        <w:rPr>
          <w:rFonts w:ascii="黑体" w:hAnsi="黑体" w:eastAsia="黑体"/>
        </w:rPr>
        <w:t>创新</w:t>
      </w:r>
      <w:r>
        <w:rPr>
          <w:rFonts w:hint="eastAsia" w:ascii="黑体" w:hAnsi="黑体" w:eastAsia="黑体"/>
        </w:rPr>
        <w:t>主体作用</w:t>
      </w:r>
    </w:p>
    <w:p>
      <w:pPr>
        <w:pStyle w:val="2"/>
        <w:adjustRightInd w:val="0"/>
        <w:snapToGrid w:val="0"/>
        <w:spacing w:line="560" w:lineRule="exact"/>
        <w:ind w:firstLine="627" w:firstLineChars="196"/>
      </w:pPr>
      <w:r>
        <w:rPr>
          <w:rFonts w:hint="eastAsia" w:ascii="仿宋_GB2312" w:hAnsi="仿宋_GB2312" w:eastAsia="仿宋_GB2312"/>
          <w:sz w:val="32"/>
          <w:szCs w:val="32"/>
        </w:rPr>
        <w:t>第八条  优化政产研关系，</w:t>
      </w:r>
      <w:r>
        <w:rPr>
          <w:rFonts w:hint="eastAsia" w:ascii="仿宋_GB2312" w:hAnsi="仿宋" w:eastAsia="仿宋_GB2312"/>
          <w:sz w:val="32"/>
          <w:szCs w:val="32"/>
        </w:rPr>
        <w:t>充分发挥政府创新政策、平台等资源优势和</w:t>
      </w:r>
      <w:r>
        <w:rPr>
          <w:rFonts w:ascii="仿宋_GB2312" w:hAnsi="仿宋" w:eastAsia="仿宋_GB2312"/>
          <w:sz w:val="32"/>
          <w:szCs w:val="32"/>
        </w:rPr>
        <w:t>引领作用</w:t>
      </w:r>
      <w:r>
        <w:rPr>
          <w:rFonts w:hint="eastAsia" w:ascii="仿宋_GB2312" w:hAnsi="仿宋" w:eastAsia="仿宋_GB2312"/>
          <w:sz w:val="32"/>
          <w:szCs w:val="32"/>
        </w:rPr>
        <w:t>，突出企业的科技创新和成果转化应用主体作用，盘活科研院所和高校的创新资源</w:t>
      </w:r>
      <w:r>
        <w:rPr>
          <w:rFonts w:ascii="仿宋_GB2312" w:hAnsi="仿宋" w:eastAsia="仿宋_GB2312"/>
          <w:sz w:val="32"/>
          <w:szCs w:val="32"/>
        </w:rPr>
        <w:t>激</w:t>
      </w:r>
      <w:r>
        <w:rPr>
          <w:rFonts w:hint="eastAsia" w:ascii="仿宋_GB2312" w:hAnsi="仿宋" w:eastAsia="仿宋_GB2312"/>
          <w:sz w:val="32"/>
          <w:szCs w:val="32"/>
        </w:rPr>
        <w:t>发创新活力，</w:t>
      </w:r>
      <w:r>
        <w:rPr>
          <w:rFonts w:hint="eastAsia" w:ascii="仿宋_GB2312" w:hAnsi="仿宋_GB2312" w:eastAsia="仿宋_GB2312" w:cs="Times New Roman"/>
          <w:bCs/>
          <w:sz w:val="32"/>
          <w:szCs w:val="32"/>
        </w:rPr>
        <w:t>构建“政府+企业+科研机构”的金三角发展模式。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第九条  引导涉农企业加大研发投入，培育壮大善于</w:t>
      </w:r>
      <w:r>
        <w:rPr>
          <w:rFonts w:ascii="仿宋_GB2312" w:hAnsi="仿宋_GB2312" w:eastAsia="仿宋_GB2312"/>
          <w:sz w:val="32"/>
          <w:szCs w:val="32"/>
        </w:rPr>
        <w:t>创新、勇于担当的企业家队伍</w:t>
      </w:r>
      <w:r>
        <w:rPr>
          <w:rFonts w:hint="eastAsia" w:ascii="仿宋_GB2312" w:hAnsi="仿宋_GB2312" w:eastAsia="仿宋_GB2312"/>
          <w:sz w:val="32"/>
          <w:szCs w:val="32"/>
        </w:rPr>
        <w:t>。推动光明集团、上实集团等农业龙头企业履行创新使命责任、落实研发投入强度要求。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第十条  鼓励</w:t>
      </w:r>
      <w:r>
        <w:rPr>
          <w:rFonts w:ascii="仿宋_GB2312" w:hAnsi="仿宋_GB2312" w:eastAsia="仿宋_GB2312"/>
          <w:sz w:val="32"/>
          <w:szCs w:val="32"/>
        </w:rPr>
        <w:t>企业参与</w:t>
      </w:r>
      <w:r>
        <w:rPr>
          <w:rFonts w:hint="eastAsia" w:ascii="仿宋_GB2312" w:hAnsi="仿宋_GB2312" w:eastAsia="仿宋_GB2312"/>
          <w:sz w:val="32"/>
          <w:szCs w:val="32"/>
        </w:rPr>
        <w:t>创新全过程，引导人才合理流动，推动</w:t>
      </w:r>
      <w:r>
        <w:rPr>
          <w:rFonts w:ascii="仿宋_GB2312" w:hAnsi="仿宋_GB2312" w:eastAsia="仿宋_GB2312"/>
          <w:sz w:val="32"/>
          <w:szCs w:val="32"/>
        </w:rPr>
        <w:t>高水平研发人才向企业集聚，</w:t>
      </w:r>
      <w:r>
        <w:rPr>
          <w:rFonts w:hint="eastAsia" w:ascii="仿宋_GB2312" w:hAnsi="仿宋_GB2312" w:eastAsia="仿宋_GB2312"/>
          <w:sz w:val="32"/>
          <w:szCs w:val="32"/>
        </w:rPr>
        <w:t>鼓励科技型农业中小企业提升研发能力，支持以企业为主体构建创新联合体，由企业牵头</w:t>
      </w:r>
      <w:r>
        <w:rPr>
          <w:rFonts w:ascii="仿宋_GB2312" w:hAnsi="仿宋_GB2312" w:eastAsia="仿宋_GB2312"/>
          <w:sz w:val="32"/>
          <w:szCs w:val="32"/>
        </w:rPr>
        <w:t>联合高校院所</w:t>
      </w:r>
      <w:r>
        <w:rPr>
          <w:rFonts w:hint="eastAsia" w:ascii="仿宋_GB2312" w:hAnsi="仿宋_GB2312" w:eastAsia="仿宋_GB2312"/>
          <w:sz w:val="32"/>
          <w:szCs w:val="32"/>
        </w:rPr>
        <w:t>承担重大项目破解</w:t>
      </w:r>
      <w:r>
        <w:rPr>
          <w:rFonts w:ascii="仿宋_GB2312" w:hAnsi="仿宋_GB2312" w:eastAsia="仿宋_GB2312"/>
          <w:sz w:val="32"/>
          <w:szCs w:val="32"/>
        </w:rPr>
        <w:t>行业</w:t>
      </w:r>
      <w:r>
        <w:rPr>
          <w:rFonts w:hint="eastAsia" w:ascii="仿宋_GB2312" w:hAnsi="仿宋_GB2312" w:eastAsia="仿宋_GB2312"/>
          <w:sz w:val="32"/>
          <w:szCs w:val="32"/>
        </w:rPr>
        <w:t>关键</w:t>
      </w:r>
      <w:r>
        <w:rPr>
          <w:rFonts w:ascii="仿宋_GB2312" w:hAnsi="仿宋_GB2312" w:eastAsia="仿宋_GB2312"/>
          <w:sz w:val="32"/>
          <w:szCs w:val="32"/>
        </w:rPr>
        <w:t>共性</w:t>
      </w:r>
      <w:r>
        <w:rPr>
          <w:rFonts w:hint="eastAsia" w:ascii="仿宋_GB2312" w:hAnsi="仿宋_GB2312" w:eastAsia="仿宋_GB2312"/>
          <w:sz w:val="32"/>
          <w:szCs w:val="32"/>
        </w:rPr>
        <w:t>技术难题，支持</w:t>
      </w:r>
      <w:r>
        <w:rPr>
          <w:rFonts w:ascii="仿宋_GB2312" w:hAnsi="仿宋_GB2312" w:eastAsia="仿宋_GB2312"/>
          <w:sz w:val="32"/>
          <w:szCs w:val="32"/>
        </w:rPr>
        <w:t>企业建设</w:t>
      </w:r>
      <w:r>
        <w:rPr>
          <w:rFonts w:hint="eastAsia" w:ascii="仿宋_GB2312" w:hAnsi="仿宋_GB2312" w:eastAsia="仿宋_GB2312"/>
          <w:sz w:val="32"/>
          <w:szCs w:val="32"/>
        </w:rPr>
        <w:t>中试</w:t>
      </w:r>
      <w:r>
        <w:rPr>
          <w:rFonts w:ascii="仿宋_GB2312" w:hAnsi="仿宋_GB2312" w:eastAsia="仿宋_GB2312"/>
          <w:sz w:val="32"/>
          <w:szCs w:val="32"/>
        </w:rPr>
        <w:t>平台推进成果转化应用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pStyle w:val="5"/>
        <w:adjustRightInd w:val="0"/>
        <w:snapToGrid w:val="0"/>
        <w:spacing w:before="0" w:after="0" w:line="560" w:lineRule="exact"/>
        <w:ind w:firstLine="629" w:firstLineChars="196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五、改进科技项目组织管理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第十一条  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优化项目形成机制</w:t>
      </w:r>
      <w:r>
        <w:rPr>
          <w:rFonts w:hint="eastAsia" w:ascii="仿宋_GB2312" w:hAnsi="仿宋_GB2312" w:eastAsia="仿宋_GB2312"/>
          <w:sz w:val="32"/>
          <w:szCs w:val="32"/>
        </w:rPr>
        <w:t>，加强学科</w:t>
      </w:r>
      <w:r>
        <w:rPr>
          <w:rFonts w:ascii="仿宋_GB2312" w:hAnsi="仿宋_GB2312" w:eastAsia="仿宋_GB2312"/>
          <w:sz w:val="32"/>
          <w:szCs w:val="32"/>
        </w:rPr>
        <w:t>前沿和产业</w:t>
      </w:r>
      <w:r>
        <w:rPr>
          <w:rFonts w:hint="eastAsia" w:ascii="仿宋_GB2312" w:hAnsi="仿宋_GB2312" w:eastAsia="仿宋_GB2312"/>
          <w:sz w:val="32"/>
          <w:szCs w:val="32"/>
        </w:rPr>
        <w:t>技术需求的跟踪</w:t>
      </w:r>
      <w:r>
        <w:rPr>
          <w:rFonts w:ascii="仿宋_GB2312" w:hAnsi="仿宋_GB2312" w:eastAsia="仿宋_GB2312"/>
          <w:sz w:val="32"/>
          <w:szCs w:val="32"/>
        </w:rPr>
        <w:t>与研究，</w:t>
      </w:r>
      <w:r>
        <w:rPr>
          <w:rFonts w:hint="eastAsia" w:ascii="仿宋_GB2312" w:hAnsi="仿宋_GB2312" w:eastAsia="仿宋_GB2312"/>
          <w:sz w:val="32"/>
          <w:szCs w:val="32"/>
        </w:rPr>
        <w:t>优化科技</w:t>
      </w:r>
      <w:r>
        <w:rPr>
          <w:rFonts w:ascii="仿宋_GB2312" w:hAnsi="仿宋_GB2312" w:eastAsia="仿宋_GB2312"/>
          <w:sz w:val="32"/>
          <w:szCs w:val="32"/>
        </w:rPr>
        <w:t>创新布局</w:t>
      </w:r>
      <w:r>
        <w:rPr>
          <w:rFonts w:hint="eastAsia" w:ascii="仿宋_GB2312" w:hAnsi="仿宋_GB2312" w:eastAsia="仿宋_GB2312"/>
          <w:sz w:val="32"/>
          <w:szCs w:val="32"/>
        </w:rPr>
        <w:t>，完善“企业</w:t>
      </w:r>
      <w:r>
        <w:rPr>
          <w:rFonts w:ascii="仿宋_GB2312" w:hAnsi="仿宋_GB2312" w:eastAsia="仿宋_GB2312"/>
          <w:sz w:val="32"/>
          <w:szCs w:val="32"/>
        </w:rPr>
        <w:t>出题</w:t>
      </w:r>
      <w:r>
        <w:rPr>
          <w:rFonts w:hint="eastAsia" w:ascii="仿宋_GB2312" w:hAnsi="仿宋_GB2312" w:eastAsia="仿宋_GB2312"/>
          <w:sz w:val="32"/>
          <w:szCs w:val="32"/>
        </w:rPr>
        <w:t>”机制，形成</w:t>
      </w:r>
      <w:r>
        <w:rPr>
          <w:rFonts w:ascii="仿宋_GB2312" w:hAnsi="仿宋_GB2312" w:eastAsia="仿宋_GB2312"/>
          <w:sz w:val="32"/>
          <w:szCs w:val="32"/>
        </w:rPr>
        <w:t>以</w:t>
      </w:r>
      <w:r>
        <w:rPr>
          <w:rFonts w:hint="eastAsia" w:ascii="仿宋_GB2312" w:hAnsi="仿宋_GB2312" w:eastAsia="仿宋_GB2312"/>
          <w:sz w:val="32"/>
          <w:szCs w:val="32"/>
        </w:rPr>
        <w:t>产业</w:t>
      </w:r>
      <w:r>
        <w:rPr>
          <w:rFonts w:ascii="仿宋_GB2312" w:hAnsi="仿宋_GB2312" w:eastAsia="仿宋_GB2312"/>
          <w:sz w:val="32"/>
          <w:szCs w:val="32"/>
        </w:rPr>
        <w:t>需求导向的项目</w:t>
      </w:r>
      <w:r>
        <w:rPr>
          <w:rFonts w:hint="eastAsia" w:ascii="仿宋_GB2312" w:hAnsi="仿宋_GB2312" w:eastAsia="仿宋_GB2312"/>
          <w:sz w:val="32"/>
          <w:szCs w:val="32"/>
        </w:rPr>
        <w:t>立项</w:t>
      </w:r>
      <w:r>
        <w:rPr>
          <w:rFonts w:ascii="仿宋_GB2312" w:hAnsi="仿宋_GB2312" w:eastAsia="仿宋_GB2312"/>
          <w:sz w:val="32"/>
          <w:szCs w:val="32"/>
        </w:rPr>
        <w:t>机制</w:t>
      </w:r>
      <w:r>
        <w:rPr>
          <w:rFonts w:hint="eastAsia" w:ascii="仿宋_GB2312" w:hAnsi="仿宋_GB2312" w:eastAsia="仿宋_GB2312"/>
          <w:sz w:val="32"/>
          <w:szCs w:val="32"/>
        </w:rPr>
        <w:t>与管理制度。在农业关键核心技术攻关领域试行“揭榜挂帅”“赛马”等制度。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第十二条  优化项目过程管理和验收机制，推行“创新团队+项目经理制”的管理模式，试点开展“经费包干制”和“负面清单制”。</w:t>
      </w:r>
    </w:p>
    <w:p>
      <w:pPr>
        <w:pStyle w:val="5"/>
        <w:adjustRightInd w:val="0"/>
        <w:snapToGrid w:val="0"/>
        <w:spacing w:before="0" w:after="0" w:line="560" w:lineRule="exact"/>
        <w:ind w:firstLine="629" w:firstLineChars="196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六、优化创新创业生态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第十三条  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协同创新发展</w:t>
      </w:r>
      <w:r>
        <w:rPr>
          <w:rFonts w:hint="eastAsia" w:ascii="仿宋_GB2312" w:hAnsi="仿宋_GB2312" w:eastAsia="仿宋_GB2312"/>
          <w:sz w:val="32"/>
          <w:szCs w:val="32"/>
        </w:rPr>
        <w:t>，鼓励涉农科研力量加强合作，整合产业链上下游资源联合创新，</w:t>
      </w:r>
      <w:r>
        <w:rPr>
          <w:rFonts w:ascii="仿宋_GB2312" w:hAnsi="仿宋_GB2312" w:eastAsia="仿宋_GB2312"/>
          <w:sz w:val="32"/>
          <w:szCs w:val="32"/>
        </w:rPr>
        <w:t>提升产业链供应链</w:t>
      </w:r>
      <w:r>
        <w:rPr>
          <w:rFonts w:hint="eastAsia" w:ascii="仿宋_GB2312" w:hAnsi="仿宋_GB2312" w:eastAsia="仿宋_GB2312"/>
          <w:sz w:val="32"/>
          <w:szCs w:val="32"/>
        </w:rPr>
        <w:t>全链条</w:t>
      </w:r>
      <w:r>
        <w:rPr>
          <w:rFonts w:ascii="仿宋_GB2312" w:hAnsi="仿宋_GB2312" w:eastAsia="仿宋_GB2312"/>
          <w:sz w:val="32"/>
          <w:szCs w:val="32"/>
        </w:rPr>
        <w:t>能级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第十四条  探索新型</w:t>
      </w:r>
      <w:r>
        <w:rPr>
          <w:rFonts w:ascii="仿宋_GB2312" w:hAnsi="仿宋_GB2312" w:eastAsia="仿宋_GB2312"/>
          <w:sz w:val="32"/>
          <w:szCs w:val="32"/>
        </w:rPr>
        <w:t>农业</w:t>
      </w:r>
      <w:r>
        <w:rPr>
          <w:rFonts w:hint="eastAsia" w:ascii="仿宋_GB2312" w:hAnsi="仿宋_GB2312" w:eastAsia="仿宋_GB2312"/>
          <w:sz w:val="32"/>
          <w:szCs w:val="32"/>
        </w:rPr>
        <w:t>科技保险，研发新型农业</w:t>
      </w:r>
      <w:r>
        <w:rPr>
          <w:rFonts w:ascii="仿宋_GB2312" w:hAnsi="仿宋_GB2312" w:eastAsia="仿宋_GB2312"/>
          <w:sz w:val="32"/>
          <w:szCs w:val="32"/>
        </w:rPr>
        <w:t>保险</w:t>
      </w:r>
      <w:r>
        <w:rPr>
          <w:rFonts w:hint="eastAsia" w:ascii="仿宋_GB2312" w:hAnsi="仿宋_GB2312" w:eastAsia="仿宋_GB2312"/>
          <w:sz w:val="32"/>
          <w:szCs w:val="32"/>
        </w:rPr>
        <w:t>产品</w:t>
      </w:r>
      <w:r>
        <w:rPr>
          <w:rFonts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由风险投资机构和科技型农业企业联合为农业科技创新和</w:t>
      </w:r>
      <w:r>
        <w:rPr>
          <w:rFonts w:ascii="仿宋_GB2312" w:hAnsi="仿宋_GB2312" w:eastAsia="仿宋_GB2312"/>
          <w:sz w:val="32"/>
          <w:szCs w:val="32"/>
        </w:rPr>
        <w:t>成果转化应用</w:t>
      </w:r>
      <w:r>
        <w:rPr>
          <w:rFonts w:hint="eastAsia" w:ascii="仿宋_GB2312" w:hAnsi="仿宋_GB2312" w:eastAsia="仿宋_GB2312"/>
          <w:sz w:val="32"/>
          <w:szCs w:val="32"/>
        </w:rPr>
        <w:t>活动购买保险，由保险公司、科技企业和风险投资机构共同分担失败风险。</w:t>
      </w:r>
    </w:p>
    <w:p>
      <w:pPr>
        <w:adjustRightInd w:val="0"/>
        <w:snapToGrid w:val="0"/>
        <w:spacing w:line="560" w:lineRule="exact"/>
        <w:ind w:firstLine="627" w:firstLineChars="196"/>
      </w:pPr>
      <w:r>
        <w:rPr>
          <w:rFonts w:hint="eastAsia" w:ascii="仿宋_GB2312" w:hAnsi="仿宋_GB2312" w:eastAsia="仿宋_GB2312"/>
          <w:sz w:val="32"/>
          <w:szCs w:val="32"/>
        </w:rPr>
        <w:t>第十五条  加速成果转化应用，完善以产业链价值提升为导向的农业科技成果评价机制，推动形成市场化专业高效的科技成果运营机制，科学设置农业科技成果的使用权、</w:t>
      </w:r>
      <w:r>
        <w:rPr>
          <w:rFonts w:ascii="仿宋_GB2312" w:hAnsi="仿宋_GB2312" w:eastAsia="仿宋_GB2312"/>
          <w:sz w:val="32"/>
          <w:szCs w:val="32"/>
        </w:rPr>
        <w:t>处置权</w:t>
      </w:r>
      <w:r>
        <w:rPr>
          <w:rFonts w:hint="eastAsia" w:ascii="仿宋_GB2312" w:hAnsi="仿宋_GB2312" w:eastAsia="仿宋_GB2312"/>
          <w:sz w:val="32"/>
          <w:szCs w:val="32"/>
        </w:rPr>
        <w:t>、收益权，建立</w:t>
      </w:r>
      <w:r>
        <w:rPr>
          <w:rFonts w:ascii="仿宋_GB2312" w:hAnsi="仿宋_GB2312" w:eastAsia="仿宋_GB2312"/>
          <w:sz w:val="32"/>
          <w:szCs w:val="32"/>
        </w:rPr>
        <w:t>科技</w:t>
      </w:r>
      <w:r>
        <w:rPr>
          <w:rFonts w:hint="eastAsia" w:ascii="仿宋_GB2312" w:hAnsi="仿宋_GB2312" w:eastAsia="仿宋_GB2312"/>
          <w:sz w:val="32"/>
          <w:szCs w:val="32"/>
        </w:rPr>
        <w:t>成果</w:t>
      </w:r>
      <w:r>
        <w:rPr>
          <w:rFonts w:ascii="仿宋_GB2312" w:hAnsi="仿宋_GB2312" w:eastAsia="仿宋_GB2312"/>
          <w:sz w:val="32"/>
          <w:szCs w:val="32"/>
        </w:rPr>
        <w:t>转化的激励机制</w:t>
      </w:r>
      <w:r>
        <w:rPr>
          <w:rFonts w:hint="eastAsia" w:ascii="仿宋_GB2312" w:hAnsi="仿宋_GB2312" w:eastAsia="仿宋_GB2312"/>
          <w:sz w:val="32"/>
          <w:szCs w:val="32"/>
        </w:rPr>
        <w:t>、</w:t>
      </w:r>
      <w:r>
        <w:rPr>
          <w:rFonts w:ascii="仿宋_GB2312" w:hAnsi="仿宋_GB2312" w:eastAsia="仿宋_GB2312"/>
          <w:sz w:val="32"/>
          <w:szCs w:val="32"/>
        </w:rPr>
        <w:t>尽职免责</w:t>
      </w:r>
      <w:r>
        <w:rPr>
          <w:rFonts w:hint="eastAsia" w:ascii="仿宋_GB2312" w:hAnsi="仿宋_GB2312" w:eastAsia="仿宋_GB2312"/>
          <w:sz w:val="32"/>
          <w:szCs w:val="32"/>
        </w:rPr>
        <w:t>制度，</w:t>
      </w:r>
      <w:r>
        <w:rPr>
          <w:rFonts w:ascii="仿宋_GB2312" w:hAnsi="仿宋_GB2312" w:eastAsia="仿宋_GB2312"/>
          <w:sz w:val="32"/>
          <w:szCs w:val="32"/>
        </w:rPr>
        <w:t>有效促进科技成果转化应用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第十六条  深化国际交流合作，主动融入全球创新网络，鼓励上海农业技术和人才走出去，加大国内外先进技术和高水平科技人才引进力度，鼓励</w:t>
      </w:r>
      <w:r>
        <w:rPr>
          <w:rFonts w:ascii="仿宋_GB2312" w:hAnsi="仿宋_GB2312" w:eastAsia="仿宋_GB2312"/>
          <w:sz w:val="32"/>
          <w:szCs w:val="32"/>
        </w:rPr>
        <w:t>涉农高校构建国际农业</w:t>
      </w:r>
      <w:r>
        <w:rPr>
          <w:rFonts w:hint="eastAsia" w:ascii="仿宋_GB2312" w:hAnsi="仿宋_GB2312" w:eastAsia="仿宋_GB2312"/>
          <w:sz w:val="32"/>
          <w:szCs w:val="32"/>
        </w:rPr>
        <w:t>科技</w:t>
      </w:r>
      <w:r>
        <w:rPr>
          <w:rFonts w:ascii="仿宋_GB2312" w:hAnsi="仿宋_GB2312" w:eastAsia="仿宋_GB2312"/>
          <w:sz w:val="32"/>
          <w:szCs w:val="32"/>
        </w:rPr>
        <w:t>学院。</w:t>
      </w:r>
      <w:r>
        <w:rPr>
          <w:rFonts w:hint="eastAsia" w:ascii="仿宋_GB2312" w:hAnsi="仿宋_GB2312" w:eastAsia="仿宋_GB2312"/>
          <w:sz w:val="32"/>
          <w:szCs w:val="32"/>
        </w:rPr>
        <w:t>加强与“一带一路”国家农业科学家合作，推进上海农业科技成果在“一带一路”国家应用推广。</w:t>
      </w:r>
    </w:p>
    <w:p>
      <w:pPr>
        <w:adjustRightInd w:val="0"/>
        <w:snapToGrid w:val="0"/>
        <w:spacing w:line="560" w:lineRule="exact"/>
        <w:ind w:firstLine="627" w:firstLineChars="196"/>
      </w:pPr>
      <w:r>
        <w:rPr>
          <w:rFonts w:hint="eastAsia" w:ascii="仿宋_GB2312" w:hAnsi="仿宋_GB2312" w:eastAsia="仿宋_GB2312"/>
          <w:sz w:val="32"/>
          <w:szCs w:val="32"/>
        </w:rPr>
        <w:t>第十七条  强化国内交流合作，加强</w:t>
      </w:r>
      <w:r>
        <w:rPr>
          <w:rFonts w:ascii="仿宋_GB2312" w:hAnsi="仿宋_GB2312" w:eastAsia="仿宋_GB2312"/>
          <w:sz w:val="32"/>
          <w:szCs w:val="32"/>
        </w:rPr>
        <w:t>南繁基地等域外</w:t>
      </w:r>
      <w:r>
        <w:rPr>
          <w:rFonts w:hint="eastAsia" w:ascii="仿宋_GB2312" w:hAnsi="仿宋_GB2312" w:eastAsia="仿宋_GB2312"/>
          <w:strike w:val="0"/>
          <w:sz w:val="32"/>
          <w:szCs w:val="32"/>
        </w:rPr>
        <w:t>科创</w:t>
      </w:r>
      <w:r>
        <w:rPr>
          <w:rFonts w:ascii="仿宋_GB2312" w:hAnsi="仿宋_GB2312" w:eastAsia="仿宋_GB2312"/>
          <w:sz w:val="32"/>
          <w:szCs w:val="32"/>
        </w:rPr>
        <w:t>基地</w:t>
      </w:r>
      <w:r>
        <w:rPr>
          <w:rFonts w:hint="eastAsia" w:ascii="仿宋_GB2312" w:hAnsi="仿宋_GB2312" w:eastAsia="仿宋_GB2312"/>
          <w:sz w:val="32"/>
          <w:szCs w:val="32"/>
        </w:rPr>
        <w:t>管理</w:t>
      </w:r>
      <w:r>
        <w:rPr>
          <w:rFonts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加强与长三角区域农业科研活动的互动，构建长三角区域科研成果转移转化机制，支持成立长三角农业科技创新联盟。</w:t>
      </w:r>
    </w:p>
    <w:p>
      <w:pPr>
        <w:pStyle w:val="5"/>
        <w:adjustRightInd w:val="0"/>
        <w:snapToGrid w:val="0"/>
        <w:spacing w:before="0" w:after="0" w:line="560" w:lineRule="exact"/>
        <w:ind w:firstLine="629" w:firstLineChars="196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</w:t>
      </w:r>
      <w:r>
        <w:rPr>
          <w:rFonts w:ascii="黑体" w:hAnsi="黑体" w:eastAsia="黑体"/>
        </w:rPr>
        <w:t>保障措施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第十八条  加强组织保障，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在市</w:t>
      </w:r>
      <w:r>
        <w:rPr>
          <w:rFonts w:ascii="仿宋_GB2312" w:hAnsi="仿宋_GB2312" w:eastAsia="仿宋_GB2312" w:cs="仿宋_GB2312"/>
          <w:sz w:val="32"/>
          <w:szCs w:val="32"/>
        </w:rPr>
        <w:t>科创中心建设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和市乡村振兴</w:t>
      </w:r>
      <w:r>
        <w:rPr>
          <w:rFonts w:ascii="仿宋_GB2312" w:hAnsi="仿宋_GB2312" w:eastAsia="仿宋_GB2312" w:cs="仿宋_GB2312"/>
          <w:sz w:val="32"/>
          <w:szCs w:val="32"/>
        </w:rPr>
        <w:t>领导机制下</w:t>
      </w:r>
      <w:r>
        <w:rPr>
          <w:rFonts w:hint="eastAsia" w:ascii="仿宋_GB2312" w:hAnsi="仿宋_GB2312" w:eastAsia="仿宋_GB2312" w:cs="仿宋_GB2312"/>
          <w:sz w:val="32"/>
          <w:szCs w:val="32"/>
        </w:rPr>
        <w:t>，设立农业科技工作组，组长由</w:t>
      </w:r>
      <w:r>
        <w:rPr>
          <w:rFonts w:ascii="仿宋_GB2312" w:hAnsi="仿宋_GB2312" w:eastAsia="仿宋_GB2312" w:cs="仿宋_GB2312"/>
          <w:sz w:val="32"/>
          <w:szCs w:val="32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</w:rPr>
        <w:t>市领导</w:t>
      </w:r>
      <w:r>
        <w:rPr>
          <w:rFonts w:ascii="仿宋_GB2312" w:hAnsi="仿宋_GB2312" w:eastAsia="仿宋_GB2312" w:cs="仿宋_GB2312"/>
          <w:sz w:val="32"/>
          <w:szCs w:val="32"/>
        </w:rPr>
        <w:t>担任，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员由市农业农村委、市发展改革委、市经济信息化委、市商委、市教委、市科委、市规划资源局、市财政局等部门和涉农区政府组成，加强顶层设计、统筹协调和政策配套，做好重点任务的分解和落实，合力推进全市农业科技创新。各涉农区政府建立农业科技创新工作机制，统筹推进各区农业科技创新工作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第十九条 强化人才支撑，依托“海聚英才”等人才计划，积极开展各类人才选拔推荐，鼓励国际国内专家依托在沪教育科研机构申报各类人才计划。引导涉农高校</w:t>
      </w:r>
      <w:r>
        <w:rPr>
          <w:rFonts w:ascii="仿宋_GB2312" w:hAnsi="仿宋_GB2312" w:eastAsia="仿宋_GB2312" w:cs="仿宋_GB2312"/>
          <w:sz w:val="32"/>
          <w:szCs w:val="32"/>
        </w:rPr>
        <w:t>优化学科布局，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加大青年人才培养力度，设立青年农业科技人才专项，促进青年科技人才快速成长。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第二十条  加大财政支持力度，促进</w:t>
      </w:r>
      <w:r>
        <w:rPr>
          <w:rFonts w:ascii="仿宋_GB2312" w:hAnsi="仿宋_GB2312" w:eastAsia="仿宋_GB2312"/>
          <w:sz w:val="32"/>
          <w:szCs w:val="32"/>
        </w:rPr>
        <w:t>科技产业金融</w:t>
      </w:r>
      <w:r>
        <w:rPr>
          <w:rFonts w:hint="eastAsia" w:ascii="仿宋_GB2312" w:hAnsi="仿宋_GB2312" w:eastAsia="仿宋_GB2312"/>
          <w:sz w:val="32"/>
          <w:szCs w:val="32"/>
        </w:rPr>
        <w:t>一体化发展</w:t>
      </w:r>
      <w:r>
        <w:rPr>
          <w:rFonts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推动成立乡村振兴基金，以财政资金引导撬动社会资本投入，</w:t>
      </w:r>
      <w:r>
        <w:rPr>
          <w:rFonts w:hint="eastAsia" w:ascii="仿宋_GB2312" w:hAnsi="仿宋_GB2312" w:eastAsia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农业科技成果超前孵化，打造本土头部科技企业。优化完善农业科技创新资助体系，市、区两级财政部门提供长期稳定的资金支持，有效保障各类科研平台的构建和运行。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0395900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2MGVjN2ExMmZhMWE3MzcwNGY5MzRiMDMwMDI4N2IifQ=="/>
  </w:docVars>
  <w:rsids>
    <w:rsidRoot w:val="7E2F4293"/>
    <w:rsid w:val="000146D0"/>
    <w:rsid w:val="0001644C"/>
    <w:rsid w:val="00020703"/>
    <w:rsid w:val="00027853"/>
    <w:rsid w:val="000335F2"/>
    <w:rsid w:val="00064FC8"/>
    <w:rsid w:val="00071076"/>
    <w:rsid w:val="000776F1"/>
    <w:rsid w:val="000B7EBD"/>
    <w:rsid w:val="000E2EBA"/>
    <w:rsid w:val="000F2FDC"/>
    <w:rsid w:val="00124152"/>
    <w:rsid w:val="00130E31"/>
    <w:rsid w:val="00172822"/>
    <w:rsid w:val="001730E9"/>
    <w:rsid w:val="001757D3"/>
    <w:rsid w:val="001B1CAF"/>
    <w:rsid w:val="001C6996"/>
    <w:rsid w:val="001E393B"/>
    <w:rsid w:val="001E6F52"/>
    <w:rsid w:val="001E74D6"/>
    <w:rsid w:val="001F177E"/>
    <w:rsid w:val="001F1BEE"/>
    <w:rsid w:val="001F5A8B"/>
    <w:rsid w:val="00202DFE"/>
    <w:rsid w:val="0021656E"/>
    <w:rsid w:val="0023011D"/>
    <w:rsid w:val="00242D7B"/>
    <w:rsid w:val="00247B05"/>
    <w:rsid w:val="00262CEC"/>
    <w:rsid w:val="00292625"/>
    <w:rsid w:val="002A2BAB"/>
    <w:rsid w:val="002B3209"/>
    <w:rsid w:val="002C409D"/>
    <w:rsid w:val="002D5E3E"/>
    <w:rsid w:val="002D6B7B"/>
    <w:rsid w:val="002E598F"/>
    <w:rsid w:val="002F5B1B"/>
    <w:rsid w:val="002F770E"/>
    <w:rsid w:val="0032140A"/>
    <w:rsid w:val="003438FA"/>
    <w:rsid w:val="0036607C"/>
    <w:rsid w:val="00374CBC"/>
    <w:rsid w:val="00380A77"/>
    <w:rsid w:val="00386E68"/>
    <w:rsid w:val="003A4DFA"/>
    <w:rsid w:val="003B03E9"/>
    <w:rsid w:val="003B1D31"/>
    <w:rsid w:val="003B3608"/>
    <w:rsid w:val="003D0A9A"/>
    <w:rsid w:val="004017C7"/>
    <w:rsid w:val="0041031D"/>
    <w:rsid w:val="00415F19"/>
    <w:rsid w:val="004247BF"/>
    <w:rsid w:val="004320F6"/>
    <w:rsid w:val="00450C73"/>
    <w:rsid w:val="00461019"/>
    <w:rsid w:val="004664CC"/>
    <w:rsid w:val="0048168B"/>
    <w:rsid w:val="004864FD"/>
    <w:rsid w:val="00493667"/>
    <w:rsid w:val="004C045C"/>
    <w:rsid w:val="004C19E2"/>
    <w:rsid w:val="004C3F69"/>
    <w:rsid w:val="004C6674"/>
    <w:rsid w:val="004D16C4"/>
    <w:rsid w:val="005003AA"/>
    <w:rsid w:val="00505831"/>
    <w:rsid w:val="00505B77"/>
    <w:rsid w:val="0053002C"/>
    <w:rsid w:val="005470D4"/>
    <w:rsid w:val="00565556"/>
    <w:rsid w:val="0056645C"/>
    <w:rsid w:val="00572CA0"/>
    <w:rsid w:val="005776F3"/>
    <w:rsid w:val="005A58D7"/>
    <w:rsid w:val="005A5A60"/>
    <w:rsid w:val="005C3377"/>
    <w:rsid w:val="005D1965"/>
    <w:rsid w:val="005E6989"/>
    <w:rsid w:val="005F6CF3"/>
    <w:rsid w:val="00600DCA"/>
    <w:rsid w:val="00624138"/>
    <w:rsid w:val="006258B3"/>
    <w:rsid w:val="00631937"/>
    <w:rsid w:val="006520A9"/>
    <w:rsid w:val="006606EA"/>
    <w:rsid w:val="00661F39"/>
    <w:rsid w:val="00663289"/>
    <w:rsid w:val="00664183"/>
    <w:rsid w:val="00683261"/>
    <w:rsid w:val="006B6EBB"/>
    <w:rsid w:val="006C3CCE"/>
    <w:rsid w:val="006C4683"/>
    <w:rsid w:val="006D74B8"/>
    <w:rsid w:val="006E762F"/>
    <w:rsid w:val="006F2311"/>
    <w:rsid w:val="006F74E6"/>
    <w:rsid w:val="007317AB"/>
    <w:rsid w:val="00760F79"/>
    <w:rsid w:val="0076486D"/>
    <w:rsid w:val="00770053"/>
    <w:rsid w:val="0078700A"/>
    <w:rsid w:val="00796308"/>
    <w:rsid w:val="007A1FFF"/>
    <w:rsid w:val="007A702F"/>
    <w:rsid w:val="008004B8"/>
    <w:rsid w:val="00812301"/>
    <w:rsid w:val="00824EAF"/>
    <w:rsid w:val="008258B4"/>
    <w:rsid w:val="0083492F"/>
    <w:rsid w:val="00835A95"/>
    <w:rsid w:val="00866E6C"/>
    <w:rsid w:val="00886275"/>
    <w:rsid w:val="008924E5"/>
    <w:rsid w:val="008B2FC0"/>
    <w:rsid w:val="008C20DA"/>
    <w:rsid w:val="008E1124"/>
    <w:rsid w:val="008E1948"/>
    <w:rsid w:val="0091497E"/>
    <w:rsid w:val="009331E2"/>
    <w:rsid w:val="00960113"/>
    <w:rsid w:val="00964781"/>
    <w:rsid w:val="00972919"/>
    <w:rsid w:val="00982E42"/>
    <w:rsid w:val="00991BE3"/>
    <w:rsid w:val="009B70BD"/>
    <w:rsid w:val="009C2EEC"/>
    <w:rsid w:val="009D07BC"/>
    <w:rsid w:val="009E4906"/>
    <w:rsid w:val="009E5E59"/>
    <w:rsid w:val="009E7445"/>
    <w:rsid w:val="009F33B8"/>
    <w:rsid w:val="00A05AD8"/>
    <w:rsid w:val="00A3482B"/>
    <w:rsid w:val="00A50855"/>
    <w:rsid w:val="00A54797"/>
    <w:rsid w:val="00A66776"/>
    <w:rsid w:val="00A805F7"/>
    <w:rsid w:val="00A81842"/>
    <w:rsid w:val="00A900C3"/>
    <w:rsid w:val="00A94926"/>
    <w:rsid w:val="00AF2966"/>
    <w:rsid w:val="00B02960"/>
    <w:rsid w:val="00B12EDF"/>
    <w:rsid w:val="00B161A9"/>
    <w:rsid w:val="00B244E9"/>
    <w:rsid w:val="00B24ED3"/>
    <w:rsid w:val="00B25BF3"/>
    <w:rsid w:val="00B37CE2"/>
    <w:rsid w:val="00B40699"/>
    <w:rsid w:val="00B62A9B"/>
    <w:rsid w:val="00B80C35"/>
    <w:rsid w:val="00BB0AB9"/>
    <w:rsid w:val="00BC4536"/>
    <w:rsid w:val="00BC49FD"/>
    <w:rsid w:val="00BD0FD1"/>
    <w:rsid w:val="00BD424E"/>
    <w:rsid w:val="00C104D0"/>
    <w:rsid w:val="00C1317B"/>
    <w:rsid w:val="00C13A09"/>
    <w:rsid w:val="00C25434"/>
    <w:rsid w:val="00C2700F"/>
    <w:rsid w:val="00C32873"/>
    <w:rsid w:val="00C6660B"/>
    <w:rsid w:val="00C713C6"/>
    <w:rsid w:val="00CA75B7"/>
    <w:rsid w:val="00CC0DE3"/>
    <w:rsid w:val="00CC1B36"/>
    <w:rsid w:val="00CD615B"/>
    <w:rsid w:val="00CE2A51"/>
    <w:rsid w:val="00CE41E5"/>
    <w:rsid w:val="00D0286D"/>
    <w:rsid w:val="00D440AB"/>
    <w:rsid w:val="00D45952"/>
    <w:rsid w:val="00D80C0A"/>
    <w:rsid w:val="00D91121"/>
    <w:rsid w:val="00D939F2"/>
    <w:rsid w:val="00D9454C"/>
    <w:rsid w:val="00D97644"/>
    <w:rsid w:val="00DB3775"/>
    <w:rsid w:val="00DE5AD3"/>
    <w:rsid w:val="00E030A6"/>
    <w:rsid w:val="00E12EE3"/>
    <w:rsid w:val="00E25DD4"/>
    <w:rsid w:val="00E93642"/>
    <w:rsid w:val="00EA13ED"/>
    <w:rsid w:val="00EA4989"/>
    <w:rsid w:val="00EB528E"/>
    <w:rsid w:val="00EC48E0"/>
    <w:rsid w:val="00ED0F97"/>
    <w:rsid w:val="00EE024E"/>
    <w:rsid w:val="00EF0620"/>
    <w:rsid w:val="00EF1C03"/>
    <w:rsid w:val="00EF20BA"/>
    <w:rsid w:val="00F014F5"/>
    <w:rsid w:val="00F141C6"/>
    <w:rsid w:val="00F22E6B"/>
    <w:rsid w:val="00F37CA8"/>
    <w:rsid w:val="00F67C5E"/>
    <w:rsid w:val="00F75AA7"/>
    <w:rsid w:val="00F76593"/>
    <w:rsid w:val="00FC4195"/>
    <w:rsid w:val="00FD0018"/>
    <w:rsid w:val="00FD6D39"/>
    <w:rsid w:val="00FE1792"/>
    <w:rsid w:val="00FF0AFC"/>
    <w:rsid w:val="01856241"/>
    <w:rsid w:val="09844ECE"/>
    <w:rsid w:val="0D171B5F"/>
    <w:rsid w:val="157D0135"/>
    <w:rsid w:val="1FB709C6"/>
    <w:rsid w:val="29672ECA"/>
    <w:rsid w:val="2F7439ED"/>
    <w:rsid w:val="37D9BAC4"/>
    <w:rsid w:val="388C5DDB"/>
    <w:rsid w:val="3B5F1598"/>
    <w:rsid w:val="3DEFBE86"/>
    <w:rsid w:val="3FF5330B"/>
    <w:rsid w:val="5E0E0B1D"/>
    <w:rsid w:val="5FFFD438"/>
    <w:rsid w:val="60083E2C"/>
    <w:rsid w:val="627A53AC"/>
    <w:rsid w:val="733C1D08"/>
    <w:rsid w:val="73A44D66"/>
    <w:rsid w:val="7B47A73D"/>
    <w:rsid w:val="7D7E6BD6"/>
    <w:rsid w:val="7E2F4293"/>
    <w:rsid w:val="7FB6CCFD"/>
    <w:rsid w:val="7FE74B73"/>
    <w:rsid w:val="7FF7DBF6"/>
    <w:rsid w:val="BC3D1F58"/>
    <w:rsid w:val="BD4FB8AE"/>
    <w:rsid w:val="EC67BC39"/>
    <w:rsid w:val="EFEF5883"/>
    <w:rsid w:val="EFFACA7D"/>
    <w:rsid w:val="F3D9D94B"/>
    <w:rsid w:val="F5FF6F4E"/>
    <w:rsid w:val="FF1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qFormat/>
    <w:uiPriority w:val="0"/>
    <w:pPr>
      <w:ind w:firstLine="1840"/>
    </w:pPr>
    <w:rPr>
      <w:rFonts w:ascii="Calibri" w:hAnsi="Calibri"/>
    </w:rPr>
  </w:style>
  <w:style w:type="paragraph" w:styleId="3">
    <w:name w:val="Body Text First Indent 2"/>
    <w:basedOn w:val="4"/>
    <w:qFormat/>
    <w:uiPriority w:val="0"/>
    <w:pPr>
      <w:spacing w:after="120"/>
      <w:ind w:left="420" w:leftChars="200" w:firstLine="420"/>
    </w:pPr>
    <w:rPr>
      <w:rFonts w:ascii="Times New Roman" w:hAnsi="Times New Roman"/>
      <w:kern w:val="2"/>
      <w:sz w:val="21"/>
      <w:szCs w:val="20"/>
    </w:rPr>
  </w:style>
  <w:style w:type="paragraph" w:styleId="4">
    <w:name w:val="Body Text Indent"/>
    <w:basedOn w:val="1"/>
    <w:qFormat/>
    <w:uiPriority w:val="0"/>
    <w:pPr>
      <w:spacing w:line="360" w:lineRule="auto"/>
      <w:ind w:firstLine="560" w:firstLineChars="200"/>
      <w:jc w:val="left"/>
    </w:pPr>
    <w:rPr>
      <w:rFonts w:ascii="宋体" w:hAnsi="宋体" w:eastAsia="仿宋_GB2312"/>
      <w:kern w:val="0"/>
      <w:sz w:val="32"/>
    </w:r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next w:val="1"/>
    <w:link w:val="19"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customStyle="1" w:styleId="15">
    <w:name w:val="标题 2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">
    <w:name w:val="标题 3 Char"/>
    <w:basedOn w:val="12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17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页脚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581</Words>
  <Characters>3317</Characters>
  <Lines>27</Lines>
  <Paragraphs>7</Paragraphs>
  <TotalTime>19</TotalTime>
  <ScaleCrop>false</ScaleCrop>
  <LinksUpToDate>false</LinksUpToDate>
  <CharactersWithSpaces>3891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2023-10-10T16:23:00Z</dcterms:created>
  <dc:creator>Administrator</dc:creator>
  <cp:lastModifiedBy>user</cp:lastModifiedBy>
  <cp:lastPrinted>2023-08-18T01:12:00Z</cp:lastPrinted>
  <dcterms:modified xsi:type="dcterms:W3CDTF">2023-10-16T13:55:17Z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D75F840A266B4C2B9E0699FE99878B32</vt:lpwstr>
  </property>
</Properties>
</file>