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64"/>
        </w:tabs>
        <w:adjustRightInd w:val="0"/>
        <w:snapToGrid w:val="0"/>
        <w:spacing w:before="65" w:beforeLines="20"/>
        <w:rPr>
          <w:color w:val="FF0000"/>
        </w:rPr>
      </w:pPr>
      <w:bookmarkStart w:id="1" w:name="_GoBack"/>
      <w:bookmarkEnd w:id="1"/>
      <w:r>
        <w:rPr>
          <w:rFonts w:hint="eastAsia"/>
          <w:color w:val="FF0000"/>
        </w:rPr>
        <w:t>提案内容：</w:t>
      </w:r>
    </w:p>
    <w:p>
      <w:pPr>
        <w:spacing w:before="65"/>
        <w:jc w:val="center"/>
        <w:rPr>
          <w:rFonts w:ascii="黑体" w:hAnsi="黑体" w:eastAsia="黑体"/>
          <w:b/>
          <w:sz w:val="44"/>
          <w:szCs w:val="44"/>
        </w:rPr>
      </w:pPr>
      <w:bookmarkStart w:id="0" w:name="casetitle2"/>
      <w:r>
        <w:rPr>
          <w:rFonts w:ascii="黑体" w:hAnsi="黑体" w:eastAsia="黑体"/>
          <w:b/>
          <w:sz w:val="44"/>
          <w:szCs w:val="44"/>
        </w:rPr>
        <w:t>关于加强统筹规划，加快建立上海市级乡村振兴基金的提案</w:t>
      </w:r>
      <w:bookmarkEnd w:id="0"/>
    </w:p>
    <w:p>
      <w:pPr>
        <w:spacing w:before="65"/>
        <w:jc w:val="center"/>
        <w:rPr>
          <w:rFonts w:ascii="黑体" w:hAnsi="黑体" w:eastAsia="黑体"/>
          <w:b/>
          <w:sz w:val="44"/>
          <w:szCs w:val="44"/>
        </w:rPr>
      </w:pPr>
    </w:p>
    <w:p>
      <w:pPr>
        <w:spacing w:before="65"/>
        <w:rPr>
          <w:rFonts w:ascii="黑体" w:hAnsi="黑体" w:eastAsia="黑体"/>
          <w:b/>
          <w:sz w:val="44"/>
          <w:szCs w:val="44"/>
        </w:rPr>
      </w:pPr>
    </w:p>
    <w:p>
      <w:pPr>
        <w:pStyle w:val="16"/>
        <w:rPr>
          <w:rStyle w:val="7"/>
          <w:rFonts w:ascii="Calibri" w:hAnsi="Calibri" w:eastAsia="宋体" w:cs="Times New Roman"/>
        </w:rPr>
      </w:pPr>
      <w:r>
        <w:rPr>
          <w:rStyle w:val="7"/>
          <w:rFonts w:ascii="宋体" w:hAnsi="宋体" w:eastAsia="宋体" w:cs="宋体"/>
          <w:b/>
          <w:color w:val="FF0000"/>
          <w:sz w:val="36"/>
        </w:rPr>
        <w:t>※背景情况※</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ascii="Calibri" w:hAnsi="Calibri" w:eastAsia="宋体" w:cs="Times New Roman"/>
        </w:rPr>
      </w:pPr>
      <w:r>
        <w:rPr>
          <w:rStyle w:val="7"/>
          <w:rFonts w:ascii="仿宋" w:hAnsi="仿宋" w:eastAsia="仿宋" w:cs="仿宋"/>
          <w:sz w:val="32"/>
          <w:szCs w:val="32"/>
        </w:rPr>
        <w:t>建立乡村振兴基金是实施乡村振兴战略的重要手段，是形成财政优先保障、金融重点倾斜、社会积极参与、企业主动筹资的多元投入格局，支持乡村产业发展和公共基础设施建设的投融资举措。截至2022年12月26日，全国范围内的乡村振兴基金累计设立为192只，分布在23个省,总计管理规模为1239.82亿。</w:t>
      </w:r>
    </w:p>
    <w:p>
      <w:pPr>
        <w:pStyle w:val="16"/>
        <w:rPr>
          <w:rStyle w:val="7"/>
          <w:rFonts w:ascii="Calibri" w:hAnsi="Calibri" w:eastAsia="宋体" w:cs="Times New Roman"/>
        </w:rPr>
      </w:pPr>
      <w:r>
        <w:rPr>
          <w:rStyle w:val="7"/>
          <w:rFonts w:ascii="宋体" w:hAnsi="宋体" w:eastAsia="宋体" w:cs="宋体"/>
          <w:b/>
          <w:color w:val="FF0000"/>
          <w:sz w:val="36"/>
        </w:rPr>
        <w:t>――――――――――――――――――――――</w:t>
      </w:r>
    </w:p>
    <w:p>
      <w:pPr>
        <w:pStyle w:val="16"/>
        <w:rPr>
          <w:rStyle w:val="7"/>
          <w:rFonts w:ascii="Calibri" w:hAnsi="Calibri" w:eastAsia="宋体" w:cs="Times New Roman"/>
        </w:rPr>
      </w:pPr>
      <w:r>
        <w:rPr>
          <w:rStyle w:val="7"/>
          <w:rFonts w:ascii="宋体" w:hAnsi="宋体" w:eastAsia="宋体" w:cs="宋体"/>
          <w:b/>
          <w:color w:val="FF0000"/>
          <w:sz w:val="36"/>
        </w:rPr>
        <w:t>※问题及分析※</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val="0"/>
          <w:sz w:val="32"/>
          <w:szCs w:val="32"/>
        </w:rPr>
      </w:pPr>
      <w:r>
        <w:rPr>
          <w:rStyle w:val="7"/>
          <w:rFonts w:hint="eastAsia" w:ascii="楷体" w:hAnsi="楷体" w:eastAsia="楷体" w:cs="楷体"/>
          <w:b/>
          <w:bCs w:val="0"/>
          <w:sz w:val="32"/>
          <w:szCs w:val="32"/>
          <w:lang w:val="en-US" w:eastAsia="zh-CN"/>
        </w:rPr>
        <w:t>1、</w:t>
      </w:r>
      <w:r>
        <w:rPr>
          <w:rStyle w:val="7"/>
          <w:rFonts w:hint="eastAsia" w:ascii="楷体" w:hAnsi="楷体" w:eastAsia="楷体" w:cs="楷体"/>
          <w:b/>
          <w:bCs w:val="0"/>
          <w:sz w:val="32"/>
          <w:szCs w:val="32"/>
        </w:rPr>
        <w:t>经验借鉴：2020年江苏省依托省政府投资基金，带动市县资金、社会资本、企业投资共同参与，成立江苏省乡村振兴基金，总规模100亿元,并在泰州、徐州、宿迁等多地设立乡村振兴子基金，发挥省市联动效应。至2022年三季度末，设立子基金19支，总认缴规模106亿元，其中省政府基金认缴25亿元，撬动比例约4倍。子基金也已实缴37亿，投资项目66个，金额24.7亿。</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ascii="Calibri" w:hAnsi="Calibri" w:eastAsia="宋体" w:cs="Times New Roman"/>
          <w:sz w:val="32"/>
          <w:szCs w:val="32"/>
        </w:rPr>
      </w:pPr>
      <w:r>
        <w:rPr>
          <w:rStyle w:val="7"/>
          <w:rFonts w:ascii="仿宋" w:hAnsi="仿宋" w:eastAsia="仿宋" w:cs="仿宋"/>
          <w:sz w:val="32"/>
          <w:szCs w:val="32"/>
        </w:rPr>
        <w:t>类似的，山东以该省新旧动能转换引导基金为依托，与多个企业合作设立6支乡村振兴基金，认缴规模145亿，投资项目8个，基金投资15.9亿，带动项目总投资45.8亿元。广东则以省农业基金管理公司与中国农业银行农银理财有限责任公司等合作，设立总规模50亿元的广东省农恒乡村振兴基金，成为全国首家由银行业金融机构参与并落实具体投放项目的省级乡村振兴基金。</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val="0"/>
          <w:sz w:val="32"/>
          <w:szCs w:val="32"/>
        </w:rPr>
      </w:pPr>
      <w:r>
        <w:rPr>
          <w:rStyle w:val="7"/>
          <w:rFonts w:hint="eastAsia" w:ascii="楷体" w:hAnsi="楷体" w:eastAsia="楷体" w:cs="楷体"/>
          <w:b/>
          <w:bCs w:val="0"/>
          <w:sz w:val="32"/>
          <w:szCs w:val="32"/>
          <w:lang w:val="en-US" w:eastAsia="zh-CN"/>
        </w:rPr>
        <w:t>2、</w:t>
      </w:r>
      <w:r>
        <w:rPr>
          <w:rStyle w:val="7"/>
          <w:rFonts w:hint="eastAsia" w:ascii="楷体" w:hAnsi="楷体" w:eastAsia="楷体" w:cs="楷体"/>
          <w:b/>
          <w:bCs w:val="0"/>
          <w:sz w:val="32"/>
          <w:szCs w:val="32"/>
        </w:rPr>
        <w:t>上海情况：本市在发展乡村振兴基金的过程中有过一些探索，主要是个别区一级政府或国企在先行先试：</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ascii="Calibri" w:hAnsi="Calibri" w:eastAsia="宋体" w:cs="Times New Roman"/>
          <w:sz w:val="32"/>
          <w:szCs w:val="32"/>
        </w:rPr>
      </w:pPr>
      <w:r>
        <w:rPr>
          <w:rStyle w:val="7"/>
          <w:rFonts w:hint="eastAsia" w:ascii="仿宋" w:hAnsi="仿宋" w:eastAsia="仿宋" w:cs="仿宋"/>
          <w:b/>
          <w:sz w:val="32"/>
          <w:szCs w:val="32"/>
          <w:lang w:eastAsia="zh-CN"/>
        </w:rPr>
        <w:t>（</w:t>
      </w:r>
      <w:r>
        <w:rPr>
          <w:rStyle w:val="7"/>
          <w:rFonts w:hint="eastAsia" w:ascii="仿宋" w:hAnsi="仿宋" w:eastAsia="仿宋" w:cs="仿宋"/>
          <w:b/>
          <w:sz w:val="32"/>
          <w:szCs w:val="32"/>
          <w:lang w:val="en-US" w:eastAsia="zh-CN"/>
        </w:rPr>
        <w:t>1</w:t>
      </w:r>
      <w:r>
        <w:rPr>
          <w:rStyle w:val="7"/>
          <w:rFonts w:hint="eastAsia" w:ascii="仿宋" w:hAnsi="仿宋" w:eastAsia="仿宋" w:cs="仿宋"/>
          <w:b/>
          <w:sz w:val="32"/>
          <w:szCs w:val="32"/>
          <w:lang w:eastAsia="zh-CN"/>
        </w:rPr>
        <w:t>）</w:t>
      </w:r>
      <w:r>
        <w:rPr>
          <w:rStyle w:val="7"/>
          <w:rFonts w:ascii="仿宋" w:hAnsi="仿宋" w:eastAsia="仿宋" w:cs="仿宋"/>
          <w:b/>
          <w:sz w:val="32"/>
          <w:szCs w:val="32"/>
        </w:rPr>
        <w:t>金山区出台了《金山区乡村振兴发展基金管理办法》，</w:t>
      </w:r>
      <w:r>
        <w:rPr>
          <w:rStyle w:val="7"/>
          <w:rFonts w:ascii="仿宋" w:hAnsi="仿宋" w:eastAsia="仿宋" w:cs="仿宋"/>
          <w:b w:val="0"/>
          <w:bCs/>
          <w:sz w:val="32"/>
          <w:szCs w:val="32"/>
        </w:rPr>
        <w:t>率先设立全市首家乡村振兴基金，规模5亿元，支持区内基础性、带动性特征明显的乡村振兴项目。</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ascii="Calibri" w:hAnsi="Calibri" w:eastAsia="宋体" w:cs="Times New Roman"/>
          <w:b w:val="0"/>
          <w:bCs/>
          <w:sz w:val="32"/>
          <w:szCs w:val="32"/>
        </w:rPr>
      </w:pPr>
      <w:r>
        <w:rPr>
          <w:rStyle w:val="7"/>
          <w:rFonts w:hint="eastAsia" w:ascii="仿宋" w:hAnsi="仿宋" w:eastAsia="仿宋" w:cs="仿宋"/>
          <w:b/>
          <w:sz w:val="32"/>
          <w:szCs w:val="32"/>
          <w:lang w:eastAsia="zh-CN"/>
        </w:rPr>
        <w:t>（</w:t>
      </w:r>
      <w:r>
        <w:rPr>
          <w:rStyle w:val="7"/>
          <w:rFonts w:hint="eastAsia" w:ascii="仿宋" w:hAnsi="仿宋" w:eastAsia="仿宋" w:cs="仿宋"/>
          <w:b/>
          <w:sz w:val="32"/>
          <w:szCs w:val="32"/>
          <w:lang w:val="en-US" w:eastAsia="zh-CN"/>
        </w:rPr>
        <w:t>2</w:t>
      </w:r>
      <w:r>
        <w:rPr>
          <w:rStyle w:val="7"/>
          <w:rFonts w:hint="eastAsia" w:ascii="仿宋" w:hAnsi="仿宋" w:eastAsia="仿宋" w:cs="仿宋"/>
          <w:b/>
          <w:sz w:val="32"/>
          <w:szCs w:val="32"/>
          <w:lang w:eastAsia="zh-CN"/>
        </w:rPr>
        <w:t>）</w:t>
      </w:r>
      <w:r>
        <w:rPr>
          <w:rStyle w:val="7"/>
          <w:rFonts w:ascii="仿宋" w:hAnsi="仿宋" w:eastAsia="仿宋" w:cs="仿宋"/>
          <w:b/>
          <w:sz w:val="32"/>
          <w:szCs w:val="32"/>
        </w:rPr>
        <w:t>奉贤区青村镇吴房村与国盛集团合作，</w:t>
      </w:r>
      <w:r>
        <w:rPr>
          <w:rStyle w:val="7"/>
          <w:rFonts w:ascii="仿宋" w:hAnsi="仿宋" w:eastAsia="仿宋" w:cs="仿宋"/>
          <w:b w:val="0"/>
          <w:bCs/>
          <w:sz w:val="32"/>
          <w:szCs w:val="32"/>
        </w:rPr>
        <w:t>通过长三角乡村振兴基金的建立和运作，开展产城乡一体化的实践探索。</w:t>
      </w:r>
    </w:p>
    <w:p>
      <w:pPr>
        <w:pStyle w:val="16"/>
        <w:keepNext w:val="0"/>
        <w:keepLines w:val="0"/>
        <w:pageBreakBefore w:val="0"/>
        <w:widowControl w:val="0"/>
        <w:kinsoku/>
        <w:wordWrap/>
        <w:overflowPunct/>
        <w:topLinePunct w:val="0"/>
        <w:autoSpaceDE/>
        <w:autoSpaceDN/>
        <w:bidi w:val="0"/>
        <w:adjustRightInd/>
        <w:snapToGrid/>
        <w:ind w:firstLine="600" w:firstLineChars="200"/>
        <w:textAlignment w:val="auto"/>
        <w:rPr>
          <w:rStyle w:val="7"/>
          <w:rFonts w:ascii="Calibri" w:hAnsi="Calibri" w:eastAsia="宋体" w:cs="Times New Roman"/>
        </w:rPr>
      </w:pPr>
      <w:r>
        <w:rPr>
          <w:rStyle w:val="7"/>
          <w:rFonts w:ascii="仿宋" w:hAnsi="仿宋" w:eastAsia="仿宋" w:cs="仿宋"/>
          <w:sz w:val="30"/>
        </w:rPr>
        <w:t>  总体看来，与上述省份相比，上海在进度上、规模上和效果上都存在一定差距。主要是上海尚未出台市级乡村振兴基金的顶层设计方案和管理制度，相关运作举措未能开展。</w:t>
      </w:r>
    </w:p>
    <w:p>
      <w:pPr>
        <w:pStyle w:val="16"/>
        <w:rPr>
          <w:rStyle w:val="7"/>
          <w:rFonts w:ascii="Calibri" w:hAnsi="Calibri" w:eastAsia="宋体" w:cs="Times New Roman"/>
        </w:rPr>
      </w:pPr>
    </w:p>
    <w:p>
      <w:pPr>
        <w:pStyle w:val="16"/>
        <w:rPr>
          <w:rStyle w:val="7"/>
          <w:rFonts w:ascii="Calibri" w:hAnsi="Calibri" w:eastAsia="宋体" w:cs="Times New Roman"/>
        </w:rPr>
      </w:pPr>
      <w:r>
        <w:rPr>
          <w:rStyle w:val="7"/>
          <w:rFonts w:ascii="Calibri" w:hAnsi="Calibri" w:eastAsia="宋体" w:cs="Times New Roman"/>
          <w:b/>
          <w:color w:val="FF0000"/>
          <w:sz w:val="36"/>
        </w:rPr>
        <w:t> </w:t>
      </w:r>
    </w:p>
    <w:p>
      <w:pPr>
        <w:pStyle w:val="16"/>
        <w:rPr>
          <w:rStyle w:val="7"/>
          <w:rFonts w:ascii="Calibri" w:hAnsi="Calibri" w:eastAsia="宋体" w:cs="Times New Roman"/>
        </w:rPr>
      </w:pPr>
      <w:r>
        <w:rPr>
          <w:rStyle w:val="7"/>
          <w:rFonts w:ascii="宋体" w:hAnsi="宋体" w:eastAsia="宋体" w:cs="宋体"/>
          <w:b/>
          <w:color w:val="FF0000"/>
          <w:sz w:val="36"/>
        </w:rPr>
        <w:t>――――――――――――――――――――――</w:t>
      </w:r>
    </w:p>
    <w:p>
      <w:pPr>
        <w:pStyle w:val="16"/>
        <w:rPr>
          <w:rStyle w:val="7"/>
          <w:rFonts w:ascii="Calibri" w:hAnsi="Calibri" w:eastAsia="宋体" w:cs="Times New Roman"/>
        </w:rPr>
      </w:pPr>
      <w:r>
        <w:rPr>
          <w:rStyle w:val="7"/>
          <w:rFonts w:ascii="宋体" w:hAnsi="宋体" w:eastAsia="宋体" w:cs="宋体"/>
          <w:b/>
          <w:color w:val="FF0000"/>
          <w:sz w:val="36"/>
        </w:rPr>
        <w:t>※建议※</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val="0"/>
          <w:sz w:val="32"/>
          <w:szCs w:val="32"/>
        </w:rPr>
      </w:pPr>
      <w:r>
        <w:rPr>
          <w:rStyle w:val="7"/>
          <w:rFonts w:hint="eastAsia" w:ascii="楷体" w:hAnsi="楷体" w:eastAsia="楷体" w:cs="楷体"/>
          <w:b/>
          <w:bCs w:val="0"/>
          <w:sz w:val="32"/>
          <w:szCs w:val="32"/>
          <w:lang w:val="en-US" w:eastAsia="zh-CN"/>
        </w:rPr>
        <w:t>1、</w:t>
      </w:r>
      <w:r>
        <w:rPr>
          <w:rStyle w:val="7"/>
          <w:rFonts w:hint="eastAsia" w:ascii="楷体" w:hAnsi="楷体" w:eastAsia="楷体" w:cs="楷体"/>
          <w:b/>
          <w:bCs w:val="0"/>
          <w:sz w:val="32"/>
          <w:szCs w:val="32"/>
        </w:rPr>
        <w:t>开展统筹规划。</w:t>
      </w:r>
      <w:r>
        <w:rPr>
          <w:rStyle w:val="7"/>
          <w:rFonts w:hint="eastAsia" w:ascii="仿宋" w:hAnsi="仿宋" w:eastAsia="仿宋" w:cs="仿宋"/>
          <w:b w:val="0"/>
          <w:bCs/>
          <w:sz w:val="32"/>
          <w:szCs w:val="32"/>
        </w:rPr>
        <w:t>建议由上海市农业农村委员会、市财政局牵头，在政府引导与市场运作相结合的前提下，研究制定本市《乡村振兴基金筹建工作方案》和《乡村振兴基金管理办法》等统筹性、规范性文件。</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ascii="Calibri" w:hAnsi="Calibri" w:eastAsia="宋体" w:cs="Times New Roman"/>
          <w:b w:val="0"/>
          <w:bCs/>
          <w:sz w:val="32"/>
          <w:szCs w:val="32"/>
        </w:rPr>
      </w:pPr>
      <w:r>
        <w:rPr>
          <w:rStyle w:val="7"/>
          <w:rFonts w:ascii="仿宋" w:hAnsi="仿宋" w:eastAsia="仿宋" w:cs="仿宋"/>
          <w:b w:val="0"/>
          <w:bCs/>
          <w:sz w:val="32"/>
          <w:szCs w:val="32"/>
        </w:rPr>
        <w:t>建议充分借鉴江苏等地的做法，结合前期金山区的探索经验，明确市级基金的组织架构、管理模式、资金来源、投资决策、风控体系、绩效分配等内容，形成有效的制度供给。尤其是统筹安排基金的出资安排，加大市区两级乡村振兴领域财政专项资金“拨改投”的力度，推动“资金改为基金”，进一步发挥撬动效应。</w:t>
      </w:r>
    </w:p>
    <w:p>
      <w:pPr>
        <w:pStyle w:val="16"/>
        <w:keepNext w:val="0"/>
        <w:keepLines w:val="0"/>
        <w:pageBreakBefore w:val="0"/>
        <w:widowControl w:val="0"/>
        <w:kinsoku/>
        <w:wordWrap/>
        <w:overflowPunct/>
        <w:topLinePunct w:val="0"/>
        <w:autoSpaceDE/>
        <w:autoSpaceDN/>
        <w:bidi w:val="0"/>
        <w:adjustRightInd/>
        <w:snapToGrid/>
        <w:ind w:firstLine="602" w:firstLineChars="200"/>
        <w:textAlignment w:val="auto"/>
        <w:rPr>
          <w:rStyle w:val="7"/>
          <w:rFonts w:hint="eastAsia" w:ascii="仿宋" w:hAnsi="仿宋" w:eastAsia="仿宋" w:cs="仿宋"/>
          <w:b w:val="0"/>
          <w:bCs/>
          <w:sz w:val="32"/>
          <w:szCs w:val="32"/>
        </w:rPr>
      </w:pPr>
      <w:r>
        <w:rPr>
          <w:rStyle w:val="7"/>
          <w:rFonts w:hint="eastAsia" w:ascii="仿宋" w:hAnsi="楷体" w:eastAsia="楷体" w:cs="楷体"/>
          <w:b/>
          <w:sz w:val="30"/>
          <w:lang w:val="en-US" w:eastAsia="zh-CN"/>
        </w:rPr>
        <w:t>2、</w:t>
      </w:r>
      <w:r>
        <w:rPr>
          <w:rStyle w:val="7"/>
          <w:rFonts w:ascii="仿宋" w:hAnsi="楷体" w:eastAsia="楷体" w:cs="楷体"/>
          <w:b/>
          <w:sz w:val="30"/>
        </w:rPr>
        <w:t>确定目标任务。</w:t>
      </w:r>
      <w:r>
        <w:rPr>
          <w:rStyle w:val="7"/>
          <w:rFonts w:hint="eastAsia" w:ascii="仿宋" w:hAnsi="仿宋" w:eastAsia="仿宋" w:cs="仿宋"/>
          <w:b/>
          <w:bCs w:val="0"/>
          <w:sz w:val="32"/>
          <w:szCs w:val="32"/>
          <w:lang w:eastAsia="zh-CN"/>
        </w:rPr>
        <w:t>（</w:t>
      </w:r>
      <w:r>
        <w:rPr>
          <w:rStyle w:val="7"/>
          <w:rFonts w:hint="eastAsia" w:ascii="仿宋" w:hAnsi="仿宋" w:eastAsia="仿宋" w:cs="仿宋"/>
          <w:b/>
          <w:bCs w:val="0"/>
          <w:sz w:val="32"/>
          <w:szCs w:val="32"/>
          <w:lang w:val="en-US" w:eastAsia="zh-CN"/>
        </w:rPr>
        <w:t>1</w:t>
      </w:r>
      <w:r>
        <w:rPr>
          <w:rStyle w:val="7"/>
          <w:rFonts w:hint="eastAsia" w:ascii="仿宋" w:hAnsi="仿宋" w:eastAsia="仿宋" w:cs="仿宋"/>
          <w:b/>
          <w:bCs w:val="0"/>
          <w:sz w:val="32"/>
          <w:szCs w:val="32"/>
          <w:lang w:eastAsia="zh-CN"/>
        </w:rPr>
        <w:t>）</w:t>
      </w:r>
      <w:r>
        <w:rPr>
          <w:rStyle w:val="7"/>
          <w:rFonts w:hint="eastAsia" w:ascii="仿宋" w:hAnsi="仿宋" w:eastAsia="仿宋" w:cs="仿宋"/>
          <w:b/>
          <w:bCs w:val="0"/>
          <w:sz w:val="32"/>
          <w:szCs w:val="32"/>
        </w:rPr>
        <w:t>建议制订相应的时间表、任务书。</w:t>
      </w:r>
      <w:r>
        <w:rPr>
          <w:rStyle w:val="7"/>
          <w:rFonts w:hint="eastAsia" w:ascii="仿宋" w:hAnsi="仿宋" w:eastAsia="仿宋" w:cs="仿宋"/>
          <w:b w:val="0"/>
          <w:bCs/>
          <w:sz w:val="32"/>
          <w:szCs w:val="32"/>
        </w:rPr>
        <w:t>2024年内争取完成市级乡村振兴基金的筹建，募集目标建议为100亿，分期逐步到位。并随之推进各涉农区的区级子基金的建设与募集工作。</w:t>
      </w:r>
      <w:r>
        <w:rPr>
          <w:rStyle w:val="7"/>
          <w:rFonts w:hint="eastAsia" w:ascii="仿宋" w:hAnsi="仿宋" w:eastAsia="仿宋" w:cs="仿宋"/>
          <w:b/>
          <w:bCs w:val="0"/>
          <w:sz w:val="32"/>
          <w:szCs w:val="32"/>
          <w:lang w:eastAsia="zh-CN"/>
        </w:rPr>
        <w:t>（</w:t>
      </w:r>
      <w:r>
        <w:rPr>
          <w:rStyle w:val="7"/>
          <w:rFonts w:hint="eastAsia" w:ascii="仿宋" w:hAnsi="仿宋" w:eastAsia="仿宋" w:cs="仿宋"/>
          <w:b/>
          <w:bCs w:val="0"/>
          <w:sz w:val="32"/>
          <w:szCs w:val="32"/>
          <w:lang w:val="en-US" w:eastAsia="zh-CN"/>
        </w:rPr>
        <w:t>2</w:t>
      </w:r>
      <w:r>
        <w:rPr>
          <w:rStyle w:val="7"/>
          <w:rFonts w:hint="eastAsia" w:ascii="仿宋" w:hAnsi="仿宋" w:eastAsia="仿宋" w:cs="仿宋"/>
          <w:b/>
          <w:bCs w:val="0"/>
          <w:sz w:val="32"/>
          <w:szCs w:val="32"/>
          <w:lang w:eastAsia="zh-CN"/>
        </w:rPr>
        <w:t>）</w:t>
      </w:r>
      <w:r>
        <w:rPr>
          <w:rStyle w:val="7"/>
          <w:rFonts w:hint="eastAsia" w:ascii="仿宋" w:hAnsi="仿宋" w:eastAsia="仿宋" w:cs="仿宋"/>
          <w:b/>
          <w:bCs w:val="0"/>
          <w:sz w:val="32"/>
          <w:szCs w:val="32"/>
        </w:rPr>
        <w:t>建议明确基金的定位是以上海乡村高质量发展和城乡一体化为目标，</w:t>
      </w:r>
      <w:r>
        <w:rPr>
          <w:rStyle w:val="7"/>
          <w:rFonts w:hint="eastAsia" w:ascii="仿宋" w:hAnsi="仿宋" w:eastAsia="仿宋" w:cs="仿宋"/>
          <w:b w:val="0"/>
          <w:bCs/>
          <w:sz w:val="32"/>
          <w:szCs w:val="32"/>
        </w:rPr>
        <w:t>不以盈利为目的。政府财政资金制订“收益让渡”、“风险补偿”和“容错纠错”等机制，基金存续期建议可以放宽到10年，调动社会资本参与乡村振兴基金的积极性。</w:t>
      </w:r>
    </w:p>
    <w:p>
      <w:pPr>
        <w:pStyle w:val="16"/>
        <w:keepNext w:val="0"/>
        <w:keepLines w:val="0"/>
        <w:pageBreakBefore w:val="0"/>
        <w:widowControl w:val="0"/>
        <w:kinsoku/>
        <w:wordWrap/>
        <w:overflowPunct/>
        <w:topLinePunct w:val="0"/>
        <w:autoSpaceDE/>
        <w:autoSpaceDN/>
        <w:bidi w:val="0"/>
        <w:adjustRightInd/>
        <w:snapToGrid/>
        <w:ind w:firstLine="602" w:firstLineChars="200"/>
        <w:textAlignment w:val="auto"/>
        <w:rPr>
          <w:rStyle w:val="7"/>
          <w:rFonts w:hint="eastAsia" w:ascii="仿宋" w:hAnsi="仿宋" w:eastAsia="仿宋" w:cs="仿宋"/>
          <w:b w:val="0"/>
          <w:bCs/>
          <w:sz w:val="32"/>
          <w:szCs w:val="32"/>
        </w:rPr>
      </w:pPr>
      <w:r>
        <w:rPr>
          <w:rStyle w:val="7"/>
          <w:rFonts w:hint="eastAsia" w:ascii="仿宋" w:hAnsi="楷体" w:eastAsia="楷体" w:cs="楷体"/>
          <w:b/>
          <w:sz w:val="30"/>
          <w:lang w:val="en-US" w:eastAsia="zh-CN"/>
        </w:rPr>
        <w:t>3、</w:t>
      </w:r>
      <w:r>
        <w:rPr>
          <w:rStyle w:val="7"/>
          <w:rFonts w:ascii="仿宋" w:hAnsi="楷体" w:eastAsia="楷体" w:cs="楷体"/>
          <w:b/>
          <w:sz w:val="30"/>
        </w:rPr>
        <w:t>发挥人才优势。</w:t>
      </w:r>
      <w:r>
        <w:rPr>
          <w:rStyle w:val="7"/>
          <w:rFonts w:hint="eastAsia" w:ascii="仿宋" w:hAnsi="仿宋" w:eastAsia="仿宋" w:cs="仿宋"/>
          <w:b/>
          <w:bCs w:val="0"/>
          <w:sz w:val="32"/>
          <w:szCs w:val="32"/>
          <w:lang w:eastAsia="zh-CN"/>
        </w:rPr>
        <w:t>（</w:t>
      </w:r>
      <w:r>
        <w:rPr>
          <w:rStyle w:val="7"/>
          <w:rFonts w:hint="eastAsia" w:ascii="仿宋" w:hAnsi="仿宋" w:eastAsia="仿宋" w:cs="仿宋"/>
          <w:b/>
          <w:bCs w:val="0"/>
          <w:sz w:val="32"/>
          <w:szCs w:val="32"/>
          <w:lang w:val="en-US" w:eastAsia="zh-CN"/>
        </w:rPr>
        <w:t>1</w:t>
      </w:r>
      <w:r>
        <w:rPr>
          <w:rStyle w:val="7"/>
          <w:rFonts w:hint="eastAsia" w:ascii="仿宋" w:hAnsi="仿宋" w:eastAsia="仿宋" w:cs="仿宋"/>
          <w:b/>
          <w:bCs w:val="0"/>
          <w:sz w:val="32"/>
          <w:szCs w:val="32"/>
          <w:lang w:eastAsia="zh-CN"/>
        </w:rPr>
        <w:t>）</w:t>
      </w:r>
      <w:r>
        <w:rPr>
          <w:rStyle w:val="7"/>
          <w:rFonts w:hint="eastAsia" w:ascii="仿宋" w:hAnsi="仿宋" w:eastAsia="仿宋" w:cs="仿宋"/>
          <w:b/>
          <w:bCs w:val="0"/>
          <w:sz w:val="32"/>
          <w:szCs w:val="32"/>
        </w:rPr>
        <w:t>建议发挥上海金融中心资源汇聚的优势，</w:t>
      </w:r>
      <w:r>
        <w:rPr>
          <w:rStyle w:val="7"/>
          <w:rFonts w:hint="eastAsia" w:ascii="仿宋" w:hAnsi="仿宋" w:eastAsia="仿宋" w:cs="仿宋"/>
          <w:b w:val="0"/>
          <w:bCs/>
          <w:sz w:val="32"/>
          <w:szCs w:val="32"/>
        </w:rPr>
        <w:t>采用“揭榜挂帅”、“招贤纳才”等形式，遴选合格的基金管理机构。</w:t>
      </w:r>
      <w:r>
        <w:rPr>
          <w:rStyle w:val="7"/>
          <w:rFonts w:hint="eastAsia" w:ascii="仿宋" w:hAnsi="仿宋" w:eastAsia="仿宋" w:cs="仿宋"/>
          <w:b/>
          <w:bCs w:val="0"/>
          <w:sz w:val="32"/>
          <w:szCs w:val="32"/>
          <w:lang w:eastAsia="zh-CN"/>
        </w:rPr>
        <w:t>（</w:t>
      </w:r>
      <w:r>
        <w:rPr>
          <w:rStyle w:val="7"/>
          <w:rFonts w:hint="eastAsia" w:ascii="仿宋" w:hAnsi="仿宋" w:eastAsia="仿宋" w:cs="仿宋"/>
          <w:b/>
          <w:bCs w:val="0"/>
          <w:sz w:val="32"/>
          <w:szCs w:val="32"/>
          <w:lang w:val="en-US" w:eastAsia="zh-CN"/>
        </w:rPr>
        <w:t>2</w:t>
      </w:r>
      <w:r>
        <w:rPr>
          <w:rStyle w:val="7"/>
          <w:rFonts w:hint="eastAsia" w:ascii="仿宋" w:hAnsi="仿宋" w:eastAsia="仿宋" w:cs="仿宋"/>
          <w:b/>
          <w:bCs w:val="0"/>
          <w:sz w:val="32"/>
          <w:szCs w:val="32"/>
          <w:lang w:eastAsia="zh-CN"/>
        </w:rPr>
        <w:t>）</w:t>
      </w:r>
      <w:r>
        <w:rPr>
          <w:rStyle w:val="7"/>
          <w:rFonts w:hint="eastAsia" w:ascii="仿宋" w:hAnsi="仿宋" w:eastAsia="仿宋" w:cs="仿宋"/>
          <w:b/>
          <w:bCs w:val="0"/>
          <w:sz w:val="32"/>
          <w:szCs w:val="32"/>
        </w:rPr>
        <w:t>建议积极推动驻沪高校、农业科研院所、金融投研机构等共同打造乡村振兴基金从业人员的培养平台，</w:t>
      </w:r>
      <w:r>
        <w:rPr>
          <w:rStyle w:val="7"/>
          <w:rFonts w:hint="eastAsia" w:ascii="仿宋" w:hAnsi="仿宋" w:eastAsia="仿宋" w:cs="仿宋"/>
          <w:b w:val="0"/>
          <w:bCs/>
          <w:sz w:val="32"/>
          <w:szCs w:val="32"/>
        </w:rPr>
        <w:t>加大对兼具金融投资管理能力和美丽乡村建设能力的复合型人才的培养力度。</w:t>
      </w:r>
    </w:p>
    <w:p>
      <w:pPr>
        <w:pStyle w:val="16"/>
        <w:keepNext w:val="0"/>
        <w:keepLines w:val="0"/>
        <w:pageBreakBefore w:val="0"/>
        <w:widowControl w:val="0"/>
        <w:kinsoku/>
        <w:wordWrap/>
        <w:overflowPunct/>
        <w:topLinePunct w:val="0"/>
        <w:autoSpaceDE/>
        <w:autoSpaceDN/>
        <w:bidi w:val="0"/>
        <w:adjustRightInd/>
        <w:snapToGrid/>
        <w:ind w:firstLine="602" w:firstLineChars="200"/>
        <w:textAlignment w:val="auto"/>
        <w:rPr>
          <w:rStyle w:val="7"/>
          <w:rFonts w:ascii="Calibri" w:hAnsi="Calibri" w:eastAsia="宋体" w:cs="Times New Roman"/>
        </w:rPr>
      </w:pPr>
      <w:r>
        <w:rPr>
          <w:rStyle w:val="7"/>
          <w:rFonts w:hint="eastAsia" w:ascii="仿宋" w:hAnsi="仿宋" w:eastAsia="仿宋" w:cs="仿宋"/>
          <w:b/>
          <w:sz w:val="30"/>
          <w:lang w:val="en-US" w:eastAsia="zh-CN"/>
        </w:rPr>
        <w:t>4、</w:t>
      </w:r>
      <w:r>
        <w:rPr>
          <w:rStyle w:val="7"/>
          <w:rFonts w:ascii="仿宋" w:hAnsi="仿宋" w:eastAsia="仿宋" w:cs="仿宋"/>
          <w:b/>
          <w:sz w:val="30"/>
        </w:rPr>
        <w:t>打造协同机制。</w:t>
      </w:r>
      <w:r>
        <w:rPr>
          <w:rStyle w:val="7"/>
          <w:rFonts w:hint="eastAsia" w:ascii="仿宋" w:hAnsi="仿宋" w:eastAsia="仿宋" w:cs="仿宋"/>
          <w:b/>
          <w:bCs w:val="0"/>
          <w:sz w:val="32"/>
          <w:szCs w:val="32"/>
          <w:lang w:eastAsia="zh-CN"/>
        </w:rPr>
        <w:t>（</w:t>
      </w:r>
      <w:r>
        <w:rPr>
          <w:rStyle w:val="7"/>
          <w:rFonts w:hint="eastAsia" w:ascii="仿宋" w:hAnsi="仿宋" w:eastAsia="仿宋" w:cs="仿宋"/>
          <w:b/>
          <w:bCs w:val="0"/>
          <w:sz w:val="32"/>
          <w:szCs w:val="32"/>
          <w:lang w:val="en-US" w:eastAsia="zh-CN"/>
        </w:rPr>
        <w:t>1</w:t>
      </w:r>
      <w:r>
        <w:rPr>
          <w:rStyle w:val="7"/>
          <w:rFonts w:hint="eastAsia" w:ascii="仿宋" w:hAnsi="仿宋" w:eastAsia="仿宋" w:cs="仿宋"/>
          <w:b/>
          <w:bCs w:val="0"/>
          <w:sz w:val="32"/>
          <w:szCs w:val="32"/>
          <w:lang w:eastAsia="zh-CN"/>
        </w:rPr>
        <w:t>）</w:t>
      </w:r>
      <w:r>
        <w:rPr>
          <w:rStyle w:val="7"/>
          <w:rFonts w:ascii="仿宋" w:hAnsi="仿宋" w:eastAsia="仿宋" w:cs="仿宋"/>
          <w:b/>
          <w:bCs w:val="0"/>
          <w:sz w:val="32"/>
          <w:szCs w:val="32"/>
        </w:rPr>
        <w:t>建议市区联动，</w:t>
      </w:r>
      <w:r>
        <w:rPr>
          <w:rStyle w:val="7"/>
          <w:rFonts w:ascii="仿宋" w:hAnsi="仿宋" w:eastAsia="仿宋" w:cs="仿宋"/>
          <w:b w:val="0"/>
          <w:bCs/>
          <w:sz w:val="32"/>
          <w:szCs w:val="32"/>
        </w:rPr>
        <w:t>采用“1+N”的母子基金联动结构，由市级成立母基金，再分散投资到各区的子基金，提高覆盖面与带动力。</w:t>
      </w:r>
      <w:r>
        <w:rPr>
          <w:rStyle w:val="7"/>
          <w:rFonts w:hint="eastAsia" w:ascii="仿宋" w:hAnsi="仿宋" w:eastAsia="仿宋" w:cs="仿宋"/>
          <w:b/>
          <w:bCs w:val="0"/>
          <w:sz w:val="32"/>
          <w:szCs w:val="32"/>
          <w:lang w:eastAsia="zh-CN"/>
        </w:rPr>
        <w:t>（</w:t>
      </w:r>
      <w:r>
        <w:rPr>
          <w:rStyle w:val="7"/>
          <w:rFonts w:hint="eastAsia" w:ascii="仿宋" w:hAnsi="仿宋" w:eastAsia="仿宋" w:cs="仿宋"/>
          <w:b/>
          <w:bCs w:val="0"/>
          <w:sz w:val="32"/>
          <w:szCs w:val="32"/>
          <w:lang w:val="en-US" w:eastAsia="zh-CN"/>
        </w:rPr>
        <w:t>2</w:t>
      </w:r>
      <w:r>
        <w:rPr>
          <w:rStyle w:val="7"/>
          <w:rFonts w:hint="eastAsia" w:ascii="仿宋" w:hAnsi="仿宋" w:eastAsia="仿宋" w:cs="仿宋"/>
          <w:b/>
          <w:bCs w:val="0"/>
          <w:sz w:val="32"/>
          <w:szCs w:val="32"/>
          <w:lang w:eastAsia="zh-CN"/>
        </w:rPr>
        <w:t>）</w:t>
      </w:r>
      <w:r>
        <w:rPr>
          <w:rStyle w:val="7"/>
          <w:rFonts w:ascii="仿宋" w:hAnsi="仿宋" w:eastAsia="仿宋" w:cs="仿宋"/>
          <w:b/>
          <w:bCs w:val="0"/>
          <w:sz w:val="32"/>
          <w:szCs w:val="32"/>
        </w:rPr>
        <w:t>建议跨区联动</w:t>
      </w:r>
      <w:r>
        <w:rPr>
          <w:rStyle w:val="7"/>
          <w:rFonts w:ascii="仿宋" w:hAnsi="仿宋" w:eastAsia="仿宋" w:cs="仿宋"/>
          <w:b w:val="0"/>
          <w:bCs/>
          <w:sz w:val="32"/>
          <w:szCs w:val="32"/>
        </w:rPr>
        <w:t>，对于各区的子基金，尽可能促进在市内全域流动，减少区际间的项目投资限制，提高资本运作效率。</w:t>
      </w:r>
      <w:r>
        <w:rPr>
          <w:rStyle w:val="7"/>
          <w:rFonts w:hint="eastAsia" w:ascii="仿宋" w:hAnsi="仿宋" w:eastAsia="仿宋" w:cs="仿宋"/>
          <w:b/>
          <w:bCs w:val="0"/>
          <w:sz w:val="32"/>
          <w:szCs w:val="32"/>
          <w:lang w:eastAsia="zh-CN"/>
        </w:rPr>
        <w:t>（</w:t>
      </w:r>
      <w:r>
        <w:rPr>
          <w:rStyle w:val="7"/>
          <w:rFonts w:hint="eastAsia" w:ascii="仿宋" w:hAnsi="仿宋" w:eastAsia="仿宋" w:cs="仿宋"/>
          <w:b/>
          <w:bCs w:val="0"/>
          <w:sz w:val="32"/>
          <w:szCs w:val="32"/>
          <w:lang w:val="en-US" w:eastAsia="zh-CN"/>
        </w:rPr>
        <w:t>3</w:t>
      </w:r>
      <w:r>
        <w:rPr>
          <w:rStyle w:val="7"/>
          <w:rFonts w:hint="eastAsia" w:ascii="仿宋" w:hAnsi="仿宋" w:eastAsia="仿宋" w:cs="仿宋"/>
          <w:b/>
          <w:bCs w:val="0"/>
          <w:sz w:val="32"/>
          <w:szCs w:val="32"/>
          <w:lang w:eastAsia="zh-CN"/>
        </w:rPr>
        <w:t>）</w:t>
      </w:r>
      <w:r>
        <w:rPr>
          <w:rStyle w:val="7"/>
          <w:rFonts w:ascii="仿宋" w:hAnsi="仿宋" w:eastAsia="仿宋" w:cs="仿宋"/>
          <w:b/>
          <w:bCs w:val="0"/>
          <w:sz w:val="32"/>
          <w:szCs w:val="32"/>
        </w:rPr>
        <w:t>建议投贷联动</w:t>
      </w:r>
      <w:r>
        <w:rPr>
          <w:rStyle w:val="7"/>
          <w:rFonts w:ascii="仿宋" w:hAnsi="仿宋" w:eastAsia="仿宋" w:cs="仿宋"/>
          <w:b w:val="0"/>
          <w:bCs/>
          <w:sz w:val="32"/>
          <w:szCs w:val="32"/>
        </w:rPr>
        <w:t>，推动基金管理机构与农担机构、商业银行协同，尤其是上海政策性农业信贷担保体系与乡村振兴基金的项目互通、信息共享，汇聚形成支持乡村高质量发展的金融合力。</w:t>
      </w:r>
    </w:p>
    <w:sectPr>
      <w:headerReference r:id="rId3" w:type="default"/>
      <w:footerReference r:id="rId4"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第</w:t>
    </w:r>
    <w:r>
      <w:rPr>
        <w:b/>
        <w:sz w:val="28"/>
        <w:szCs w:val="28"/>
      </w:rPr>
      <w:fldChar w:fldCharType="begin"/>
    </w:r>
    <w:r>
      <w:rPr>
        <w:b/>
        <w:sz w:val="28"/>
        <w:szCs w:val="28"/>
      </w:rPr>
      <w:instrText xml:space="preserve">PAGE</w:instrText>
    </w:r>
    <w:r>
      <w:rPr>
        <w:b/>
        <w:sz w:val="28"/>
        <w:szCs w:val="28"/>
      </w:rPr>
      <w:fldChar w:fldCharType="separate"/>
    </w:r>
    <w:r>
      <w:rPr>
        <w:b/>
        <w:sz w:val="28"/>
        <w:szCs w:val="28"/>
      </w:rPr>
      <w:t>1</w:t>
    </w:r>
    <w:r>
      <w:rPr>
        <w:b/>
        <w:sz w:val="28"/>
        <w:szCs w:val="28"/>
      </w:rPr>
      <w:fldChar w:fldCharType="end"/>
    </w:r>
    <w:r>
      <w:rPr>
        <w:rFonts w:hint="eastAsia"/>
        <w:b/>
        <w:sz w:val="28"/>
        <w:szCs w:val="28"/>
      </w:rPr>
      <w:t>页</w:t>
    </w:r>
    <w:r>
      <w:rPr>
        <w:sz w:val="28"/>
        <w:szCs w:val="28"/>
        <w:lang w:val="zh-CN"/>
      </w:rPr>
      <w:t xml:space="preserve"> / </w:t>
    </w:r>
    <w:r>
      <w:rPr>
        <w:rFonts w:hint="eastAsia"/>
        <w:sz w:val="28"/>
        <w:szCs w:val="28"/>
        <w:lang w:val="zh-CN"/>
      </w:rPr>
      <w:t>共</w:t>
    </w:r>
    <w:r>
      <w:rPr>
        <w:b/>
        <w:sz w:val="28"/>
        <w:szCs w:val="28"/>
      </w:rPr>
      <w:fldChar w:fldCharType="begin"/>
    </w:r>
    <w:r>
      <w:rPr>
        <w:b/>
        <w:sz w:val="28"/>
        <w:szCs w:val="28"/>
      </w:rPr>
      <w:instrText xml:space="preserve">NUMPAGES</w:instrText>
    </w:r>
    <w:r>
      <w:rPr>
        <w:b/>
        <w:sz w:val="28"/>
        <w:szCs w:val="28"/>
      </w:rPr>
      <w:fldChar w:fldCharType="separate"/>
    </w:r>
    <w:r>
      <w:rPr>
        <w:b/>
        <w:sz w:val="28"/>
        <w:szCs w:val="28"/>
      </w:rPr>
      <w:t>2</w:t>
    </w:r>
    <w:r>
      <w:rPr>
        <w:b/>
        <w:sz w:val="28"/>
        <w:szCs w:val="28"/>
      </w:rPr>
      <w:fldChar w:fldCharType="end"/>
    </w:r>
    <w:r>
      <w:rPr>
        <w:rFonts w:hint="eastAsia"/>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NmU3ODBhNjNmMzM1ZWY3YmI4MzliOTY3NGMxNzMifQ=="/>
  </w:docVars>
  <w:rsids>
    <w:rsidRoot w:val="00000000"/>
    <w:rsid w:val="3FB34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pPr>
    <w:rPr>
      <w:rFonts w:cs="Times New Roman"/>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paragraph" w:customStyle="1" w:styleId="9">
    <w:name w:val="z-窗体顶端1"/>
    <w:basedOn w:val="1"/>
    <w:next w:val="1"/>
    <w:link w:val="10"/>
    <w:semiHidden/>
    <w:unhideWhenUsed/>
    <w:qFormat/>
    <w:uiPriority w:val="99"/>
    <w:pPr>
      <w:pBdr>
        <w:bottom w:val="single" w:color="auto" w:sz="6" w:space="1"/>
      </w:pBdr>
      <w:jc w:val="center"/>
    </w:pPr>
    <w:rPr>
      <w:rFonts w:ascii="Arial" w:hAnsi="Arial" w:cs="Times New Roman"/>
      <w:vanish/>
      <w:sz w:val="16"/>
      <w:szCs w:val="16"/>
    </w:rPr>
  </w:style>
  <w:style w:type="character" w:customStyle="1" w:styleId="10">
    <w:name w:val="z-窗体顶端 字符"/>
    <w:link w:val="9"/>
    <w:semiHidden/>
    <w:qFormat/>
    <w:uiPriority w:val="99"/>
    <w:rPr>
      <w:rFonts w:ascii="Arial" w:hAnsi="Arial" w:eastAsia="宋体" w:cs="Arial"/>
      <w:vanish/>
      <w:kern w:val="0"/>
      <w:sz w:val="16"/>
      <w:szCs w:val="16"/>
    </w:rPr>
  </w:style>
  <w:style w:type="paragraph" w:customStyle="1" w:styleId="11">
    <w:name w:val="z-窗体底端1"/>
    <w:basedOn w:val="1"/>
    <w:next w:val="1"/>
    <w:link w:val="12"/>
    <w:semiHidden/>
    <w:unhideWhenUsed/>
    <w:qFormat/>
    <w:uiPriority w:val="99"/>
    <w:pPr>
      <w:pBdr>
        <w:top w:val="single" w:color="auto" w:sz="6" w:space="1"/>
      </w:pBdr>
      <w:jc w:val="center"/>
    </w:pPr>
    <w:rPr>
      <w:rFonts w:ascii="Arial" w:hAnsi="Arial" w:cs="Times New Roman"/>
      <w:vanish/>
      <w:sz w:val="16"/>
      <w:szCs w:val="16"/>
    </w:rPr>
  </w:style>
  <w:style w:type="character" w:customStyle="1" w:styleId="12">
    <w:name w:val="z-窗体底端 字符"/>
    <w:link w:val="11"/>
    <w:semiHidden/>
    <w:qFormat/>
    <w:uiPriority w:val="99"/>
    <w:rPr>
      <w:rFonts w:ascii="Arial" w:hAnsi="Arial" w:eastAsia="宋体" w:cs="Arial"/>
      <w:vanish/>
      <w:kern w:val="0"/>
      <w:sz w:val="16"/>
      <w:szCs w:val="16"/>
    </w:rPr>
  </w:style>
  <w:style w:type="character" w:customStyle="1" w:styleId="13">
    <w:name w:val="页眉 字符"/>
    <w:link w:val="3"/>
    <w:qFormat/>
    <w:uiPriority w:val="99"/>
    <w:rPr>
      <w:rFonts w:ascii="宋体" w:hAnsi="宋体" w:cs="宋体"/>
      <w:sz w:val="18"/>
      <w:szCs w:val="18"/>
    </w:rPr>
  </w:style>
  <w:style w:type="character" w:customStyle="1" w:styleId="14">
    <w:name w:val="页脚 字符"/>
    <w:link w:val="2"/>
    <w:qFormat/>
    <w:uiPriority w:val="99"/>
    <w:rPr>
      <w:rFonts w:ascii="宋体" w:hAnsi="宋体" w:cs="宋体"/>
      <w:sz w:val="18"/>
      <w:szCs w:val="18"/>
    </w:rPr>
  </w:style>
  <w:style w:type="paragraph" w:customStyle="1" w:styleId="15">
    <w:name w:val="Normal_0"/>
    <w:qFormat/>
    <w:uiPriority w:val="0"/>
    <w:pPr>
      <w:widowControl w:val="0"/>
      <w:jc w:val="both"/>
    </w:pPr>
    <w:rPr>
      <w:rFonts w:asciiTheme="minorHAnsi" w:hAnsiTheme="minorHAnsi" w:eastAsiaTheme="minorEastAsia" w:cstheme="minorBidi"/>
      <w:sz w:val="21"/>
      <w:szCs w:val="22"/>
      <w:lang w:val="en-US" w:eastAsia="zh-CN" w:bidi="ar-SA"/>
    </w:rPr>
  </w:style>
  <w:style w:type="paragraph" w:customStyle="1" w:styleId="16">
    <w:name w:val="Normal_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1959</Words>
  <Characters>2080</Characters>
  <Lines>3</Lines>
  <Paragraphs>1</Paragraphs>
  <TotalTime>58</TotalTime>
  <ScaleCrop>false</ScaleCrop>
  <LinksUpToDate>false</LinksUpToDate>
  <CharactersWithSpaces>2195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2021-04-01T05:38:00Z</dcterms:created>
  <dc:creator>2</dc:creator>
  <cp:lastModifiedBy>严茂森</cp:lastModifiedBy>
  <cp:lastPrinted>2023-12-26T01:02:00Z</cp:lastPrinted>
  <dcterms:modified xsi:type="dcterms:W3CDTF">2024-06-05T08:44:48Z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E3D15859C45D435E8C9E9BBA1930C628</vt:lpwstr>
  </property>
  <property fmtid="{D5CDD505-2E9C-101B-9397-08002B2CF9AE}" pid="3" name="KSOProductBuildVer">
    <vt:lpwstr>2052-12.1.0.16929</vt:lpwstr>
  </property>
</Properties>
</file>