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  <w:t>附件</w:t>
      </w:r>
    </w:p>
    <w:p>
      <w:pPr>
        <w:jc w:val="center"/>
        <w:rPr>
          <w:rFonts w:hint="eastAsia" w:ascii="宋体" w:hAnsi="宋体" w:eastAsia="宋体" w:cs="宋体"/>
          <w:b/>
          <w:sz w:val="36"/>
          <w:szCs w:val="36"/>
        </w:rPr>
      </w:pPr>
      <w:r>
        <w:rPr>
          <w:rFonts w:hint="eastAsia" w:ascii="宋体" w:hAnsi="宋体" w:eastAsia="宋体" w:cs="宋体"/>
          <w:b/>
          <w:sz w:val="36"/>
          <w:szCs w:val="36"/>
          <w:lang w:eastAsia="zh-CN"/>
        </w:rPr>
        <w:t>202</w:t>
      </w:r>
      <w:r>
        <w:rPr>
          <w:rFonts w:hint="eastAsia" w:ascii="宋体" w:hAnsi="宋体" w:eastAsia="宋体" w:cs="宋体"/>
          <w:b/>
          <w:sz w:val="36"/>
          <w:szCs w:val="36"/>
          <w:lang w:val="en-US" w:eastAsia="zh-CN"/>
        </w:rPr>
        <w:t>3</w:t>
      </w:r>
      <w:r>
        <w:rPr>
          <w:rFonts w:hint="eastAsia" w:ascii="宋体" w:hAnsi="宋体" w:eastAsia="宋体" w:cs="宋体"/>
          <w:b/>
          <w:sz w:val="36"/>
          <w:szCs w:val="36"/>
        </w:rPr>
        <w:t>年上海市伏休期间海蜇</w:t>
      </w:r>
      <w:r>
        <w:rPr>
          <w:rFonts w:hint="eastAsia" w:ascii="宋体" w:hAnsi="宋体" w:eastAsia="宋体" w:cs="宋体"/>
          <w:b/>
          <w:sz w:val="36"/>
          <w:szCs w:val="36"/>
          <w:lang w:eastAsia="zh-CN"/>
        </w:rPr>
        <w:t>、桁杆拖虾</w:t>
      </w:r>
      <w:r>
        <w:rPr>
          <w:rFonts w:hint="eastAsia" w:ascii="宋体" w:hAnsi="宋体" w:eastAsia="宋体" w:cs="宋体"/>
          <w:b/>
          <w:sz w:val="36"/>
          <w:szCs w:val="36"/>
        </w:rPr>
        <w:t>专项限额</w:t>
      </w:r>
    </w:p>
    <w:p>
      <w:pPr>
        <w:jc w:val="center"/>
        <w:rPr>
          <w:rFonts w:ascii="宋体" w:hAnsi="宋体" w:eastAsia="宋体" w:cs="宋体"/>
          <w:b/>
          <w:sz w:val="36"/>
          <w:szCs w:val="36"/>
        </w:rPr>
      </w:pPr>
      <w:r>
        <w:rPr>
          <w:rFonts w:hint="eastAsia" w:ascii="宋体" w:hAnsi="宋体" w:eastAsia="宋体" w:cs="宋体"/>
          <w:b/>
          <w:sz w:val="36"/>
          <w:szCs w:val="36"/>
        </w:rPr>
        <w:t>捕捞实施方案</w:t>
      </w:r>
    </w:p>
    <w:p>
      <w:pPr>
        <w:jc w:val="center"/>
        <w:rPr>
          <w:rFonts w:ascii="仿宋_GB2312" w:hAnsi="仿宋_GB2312" w:eastAsia="仿宋_GB2312" w:cs="仿宋_GB2312"/>
          <w:b/>
          <w:sz w:val="32"/>
          <w:szCs w:val="32"/>
        </w:rPr>
      </w:pPr>
    </w:p>
    <w:p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为推进我市海洋渔业资源总量管理，着力加强海洋渔业资源和生态环境保护, 促进海洋渔业资源科学养护和合理利用,根据《农业部关于进一步加强国内渔船管控 实施海洋渔业资源总量管理的通知》（农渔发</w:t>
      </w:r>
      <w:r>
        <w:rPr>
          <w:rFonts w:hint="eastAsia" w:ascii="仿宋_GB2312" w:hAnsi="宋体" w:eastAsia="仿宋_GB2312"/>
          <w:sz w:val="32"/>
          <w:szCs w:val="32"/>
        </w:rPr>
        <w:t>〔2017〕</w:t>
      </w:r>
      <w:r>
        <w:rPr>
          <w:rFonts w:hint="eastAsia" w:ascii="仿宋_GB2312" w:hAnsi="仿宋_GB2312" w:eastAsia="仿宋_GB2312" w:cs="仿宋_GB2312"/>
          <w:sz w:val="32"/>
          <w:szCs w:val="32"/>
        </w:rPr>
        <w:t>2号）、</w:t>
      </w:r>
      <w:r>
        <w:rPr>
          <w:rFonts w:hint="eastAsia" w:ascii="仿宋_GB2312" w:hAnsi="宋体" w:eastAsia="仿宋_GB2312"/>
          <w:sz w:val="32"/>
          <w:szCs w:val="32"/>
        </w:rPr>
        <w:t>《农业</w:t>
      </w:r>
      <w:r>
        <w:rPr>
          <w:rFonts w:hint="eastAsia" w:ascii="仿宋_GB2312" w:hAnsi="宋体" w:eastAsia="仿宋_GB2312"/>
          <w:sz w:val="32"/>
          <w:szCs w:val="32"/>
          <w:lang w:eastAsia="zh-CN"/>
        </w:rPr>
        <w:t>农村部</w:t>
      </w:r>
      <w:r>
        <w:rPr>
          <w:rFonts w:hint="eastAsia" w:ascii="仿宋_GB2312" w:hAnsi="宋体" w:eastAsia="仿宋_GB2312"/>
          <w:sz w:val="32"/>
          <w:szCs w:val="32"/>
        </w:rPr>
        <w:t>关于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2023年</w:t>
      </w:r>
      <w:r>
        <w:rPr>
          <w:rFonts w:hint="eastAsia" w:ascii="仿宋_GB2312" w:hAnsi="宋体" w:eastAsia="仿宋_GB2312"/>
          <w:sz w:val="32"/>
          <w:szCs w:val="32"/>
        </w:rPr>
        <w:t>伏季休渔</w:t>
      </w:r>
      <w:r>
        <w:rPr>
          <w:rFonts w:hint="eastAsia" w:ascii="仿宋_GB2312" w:hAnsi="宋体" w:eastAsia="仿宋_GB2312"/>
          <w:sz w:val="32"/>
          <w:szCs w:val="32"/>
          <w:lang w:eastAsia="zh-CN"/>
        </w:rPr>
        <w:t>期间专项捕捞许可和捕捞辅助船配套服务安排的</w:t>
      </w:r>
      <w:r>
        <w:rPr>
          <w:rFonts w:hint="eastAsia" w:ascii="仿宋_GB2312" w:hAnsi="宋体" w:eastAsia="仿宋_GB2312"/>
          <w:sz w:val="32"/>
          <w:szCs w:val="32"/>
        </w:rPr>
        <w:t>通告》（农业</w:t>
      </w:r>
      <w:r>
        <w:rPr>
          <w:rFonts w:hint="eastAsia" w:ascii="仿宋_GB2312" w:hAnsi="宋体" w:eastAsia="仿宋_GB2312"/>
          <w:sz w:val="32"/>
          <w:szCs w:val="32"/>
          <w:lang w:eastAsia="zh-CN"/>
        </w:rPr>
        <w:t>农村部</w:t>
      </w:r>
      <w:r>
        <w:rPr>
          <w:rFonts w:hint="eastAsia" w:ascii="仿宋_GB2312" w:hAnsi="宋体" w:eastAsia="仿宋_GB2312"/>
          <w:sz w:val="32"/>
          <w:szCs w:val="32"/>
        </w:rPr>
        <w:t>通告〔</w:t>
      </w:r>
      <w:r>
        <w:rPr>
          <w:rFonts w:hint="eastAsia" w:ascii="仿宋_GB2312" w:hAnsi="宋体" w:eastAsia="仿宋_GB2312"/>
          <w:sz w:val="32"/>
          <w:szCs w:val="32"/>
          <w:lang w:eastAsia="zh-CN"/>
        </w:rPr>
        <w:t>202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宋体" w:eastAsia="仿宋_GB2312"/>
          <w:sz w:val="32"/>
          <w:szCs w:val="32"/>
        </w:rPr>
        <w:t>〕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宋体" w:eastAsia="仿宋_GB2312"/>
          <w:sz w:val="32"/>
          <w:szCs w:val="32"/>
        </w:rPr>
        <w:t>号）</w:t>
      </w:r>
      <w:r>
        <w:rPr>
          <w:rFonts w:hint="eastAsia" w:ascii="仿宋_GB2312" w:hAnsi="仿宋_GB2312" w:eastAsia="仿宋_GB2312" w:cs="仿宋_GB2312"/>
          <w:sz w:val="32"/>
          <w:szCs w:val="32"/>
        </w:rPr>
        <w:t>有关要求，现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制定</w:t>
      </w:r>
      <w:r>
        <w:rPr>
          <w:rFonts w:hint="eastAsia" w:ascii="仿宋_GB2312" w:hAnsi="宋体" w:eastAsia="仿宋_GB2312"/>
          <w:sz w:val="32"/>
          <w:szCs w:val="32"/>
          <w:lang w:eastAsia="zh-CN"/>
        </w:rPr>
        <w:t>202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宋体" w:eastAsia="仿宋_GB2312"/>
          <w:sz w:val="32"/>
          <w:szCs w:val="32"/>
        </w:rPr>
        <w:t>年我市</w:t>
      </w:r>
      <w:r>
        <w:rPr>
          <w:rFonts w:hint="eastAsia" w:ascii="仿宋_GB2312" w:hAnsi="仿宋_GB2312" w:eastAsia="仿宋_GB2312" w:cs="仿宋_GB2312"/>
          <w:sz w:val="32"/>
          <w:szCs w:val="32"/>
        </w:rPr>
        <w:t>海蜇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、桁杆拖虾</w:t>
      </w:r>
      <w:r>
        <w:rPr>
          <w:rFonts w:hint="eastAsia" w:ascii="仿宋_GB2312" w:hAnsi="仿宋_GB2312" w:eastAsia="仿宋_GB2312" w:cs="仿宋_GB2312"/>
          <w:sz w:val="32"/>
          <w:szCs w:val="32"/>
        </w:rPr>
        <w:t>专项限额捕捞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方案如下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val="en-US" w:eastAsia="zh-CN"/>
        </w:rPr>
        <w:t>:</w:t>
      </w:r>
    </w:p>
    <w:p>
      <w:pPr>
        <w:pStyle w:val="9"/>
        <w:numPr>
          <w:ilvl w:val="-1"/>
          <w:numId w:val="0"/>
        </w:numPr>
        <w:spacing w:line="360" w:lineRule="auto"/>
        <w:ind w:left="0" w:firstLine="643" w:firstLineChars="200"/>
        <w:rPr>
          <w:rFonts w:hint="eastAsia"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eastAsia="zh-CN"/>
        </w:rPr>
        <w:t>一、</w:t>
      </w:r>
      <w:r>
        <w:rPr>
          <w:rFonts w:hint="eastAsia" w:ascii="黑体" w:hAnsi="黑体" w:eastAsia="黑体" w:cs="黑体"/>
          <w:b/>
          <w:bCs/>
          <w:sz w:val="32"/>
          <w:szCs w:val="32"/>
        </w:rPr>
        <w:t>总体</w:t>
      </w:r>
      <w:r>
        <w:rPr>
          <w:rFonts w:hint="eastAsia" w:ascii="黑体" w:hAnsi="黑体" w:eastAsia="黑体" w:cs="黑体"/>
          <w:b/>
          <w:bCs/>
          <w:sz w:val="32"/>
          <w:szCs w:val="32"/>
          <w:lang w:eastAsia="zh-CN"/>
        </w:rPr>
        <w:t>要求</w:t>
      </w:r>
    </w:p>
    <w:p>
      <w:pPr>
        <w:pStyle w:val="9"/>
        <w:spacing w:line="360" w:lineRule="auto"/>
        <w:ind w:left="600" w:firstLine="0" w:firstLineChars="0"/>
        <w:rPr>
          <w:rFonts w:ascii="楷体" w:hAnsi="楷体" w:eastAsia="楷体" w:cs="楷体"/>
          <w:b/>
          <w:sz w:val="32"/>
          <w:szCs w:val="32"/>
        </w:rPr>
      </w:pPr>
      <w:r>
        <w:rPr>
          <w:rFonts w:hint="eastAsia" w:ascii="楷体" w:hAnsi="楷体" w:eastAsia="楷体" w:cs="楷体"/>
          <w:b/>
          <w:sz w:val="32"/>
          <w:szCs w:val="32"/>
        </w:rPr>
        <w:t>（一）捕捞水域、品种、渔船</w:t>
      </w:r>
    </w:p>
    <w:p>
      <w:pPr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捕捞水域: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海蜇专项捕捞具体为</w:t>
      </w:r>
      <w:r>
        <w:rPr>
          <w:rFonts w:hint="eastAsia" w:ascii="仿宋_GB2312" w:hAnsi="仿宋_GB2312" w:eastAsia="仿宋_GB2312" w:cs="仿宋_GB2312"/>
          <w:sz w:val="32"/>
          <w:szCs w:val="32"/>
        </w:rPr>
        <w:t>我市管辖的杭州湾水域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  <w:t>;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桁杆拖虾专项捕捞具体为</w:t>
      </w:r>
      <w:r>
        <w:rPr>
          <w:rFonts w:hint="eastAsia" w:ascii="仿宋_GB2312" w:hAnsi="宋体" w:eastAsia="仿宋_GB2312" w:cs="Times New Roman"/>
          <w:sz w:val="32"/>
          <w:szCs w:val="32"/>
        </w:rPr>
        <w:t>上海市管辖及向东延伸</w:t>
      </w:r>
      <w:r>
        <w:rPr>
          <w:rFonts w:hint="eastAsia" w:ascii="仿宋_GB2312" w:hAnsi="宋体" w:eastAsia="仿宋_GB2312" w:cs="Times New Roman"/>
          <w:sz w:val="32"/>
          <w:szCs w:val="32"/>
          <w:lang w:eastAsia="zh-CN"/>
        </w:rPr>
        <w:t>的东海</w:t>
      </w:r>
      <w:r>
        <w:rPr>
          <w:rFonts w:hint="eastAsia" w:ascii="仿宋_GB2312" w:hAnsi="宋体" w:eastAsia="仿宋_GB2312" w:cs="Times New Roman"/>
          <w:sz w:val="32"/>
          <w:szCs w:val="32"/>
        </w:rPr>
        <w:t>C2类渔区</w:t>
      </w:r>
      <w:r>
        <w:rPr>
          <w:rFonts w:hint="eastAsia" w:ascii="仿宋_GB2312" w:hAnsi="宋体" w:eastAsia="仿宋_GB2312" w:cs="Times New Roman"/>
          <w:sz w:val="32"/>
          <w:szCs w:val="32"/>
          <w:lang w:eastAsia="zh-CN"/>
        </w:rPr>
        <w:t>。</w:t>
      </w:r>
    </w:p>
    <w:p>
      <w:pPr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捕捞品种:海蜇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"/>
        </w:rPr>
        <w:t>;</w:t>
      </w:r>
      <w:r>
        <w:rPr>
          <w:rFonts w:hint="eastAsia" w:ascii="仿宋_GB2312" w:hAnsi="仿宋_GB2312" w:eastAsia="仿宋_GB2312" w:cs="仿宋_GB2312"/>
          <w:sz w:val="32"/>
          <w:szCs w:val="32"/>
        </w:rPr>
        <w:t>虾蟹类、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底层</w:t>
      </w:r>
      <w:r>
        <w:rPr>
          <w:rFonts w:hint="eastAsia" w:ascii="仿宋_GB2312" w:hAnsi="仿宋_GB2312" w:eastAsia="仿宋_GB2312" w:cs="仿宋_GB2312"/>
          <w:sz w:val="32"/>
          <w:szCs w:val="32"/>
        </w:rPr>
        <w:t>鱼类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p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专项捕捞船：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持有</w:t>
      </w:r>
      <w:r>
        <w:rPr>
          <w:rFonts w:hint="eastAsia" w:ascii="仿宋_GB2312" w:hAnsi="仿宋_GB2312" w:eastAsia="仿宋_GB2312" w:cs="仿宋_GB2312"/>
          <w:sz w:val="32"/>
          <w:szCs w:val="32"/>
        </w:rPr>
        <w:t>我市《专项（特许）渔业捕捞许可证》（以下简称《专项证》）的张网类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（海蜇专项）、拖网类（桁杆拖虾专项）</w:t>
      </w:r>
      <w:r>
        <w:rPr>
          <w:rFonts w:hint="eastAsia" w:ascii="仿宋_GB2312" w:hAnsi="仿宋_GB2312" w:eastAsia="仿宋_GB2312" w:cs="仿宋_GB2312"/>
          <w:sz w:val="32"/>
          <w:szCs w:val="32"/>
        </w:rPr>
        <w:t>海洋渔船。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海蜇</w:t>
      </w:r>
      <w:r>
        <w:rPr>
          <w:rFonts w:hint="eastAsia" w:ascii="仿宋_GB2312" w:hAnsi="仿宋_GB2312" w:eastAsia="仿宋_GB2312" w:cs="仿宋_GB2312"/>
          <w:sz w:val="32"/>
          <w:szCs w:val="32"/>
        </w:rPr>
        <w:t>专项捕捞渔船的作业位置按照网格化要求管理。</w:t>
      </w:r>
    </w:p>
    <w:p>
      <w:pPr>
        <w:pStyle w:val="9"/>
        <w:spacing w:line="360" w:lineRule="auto"/>
        <w:ind w:left="600" w:firstLine="0" w:firstLineChars="0"/>
        <w:rPr>
          <w:rFonts w:ascii="楷体" w:hAnsi="楷体" w:eastAsia="楷体" w:cs="楷体"/>
          <w:b/>
          <w:sz w:val="32"/>
          <w:szCs w:val="32"/>
        </w:rPr>
      </w:pPr>
      <w:r>
        <w:rPr>
          <w:rFonts w:hint="eastAsia" w:ascii="楷体" w:hAnsi="楷体" w:eastAsia="楷体" w:cs="楷体"/>
          <w:b/>
          <w:sz w:val="32"/>
          <w:szCs w:val="32"/>
        </w:rPr>
        <w:t>（二）确定限额捕捞水域资源总量</w:t>
      </w:r>
    </w:p>
    <w:p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经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科学资源监测和社会调查</w:t>
      </w:r>
      <w:r>
        <w:rPr>
          <w:rFonts w:hint="eastAsia" w:ascii="仿宋_GB2312" w:hAnsi="仿宋_GB2312" w:eastAsia="仿宋_GB2312" w:cs="仿宋_GB2312"/>
          <w:sz w:val="32"/>
          <w:szCs w:val="32"/>
        </w:rPr>
        <w:t>，综合确定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杭州湾</w:t>
      </w:r>
      <w:r>
        <w:rPr>
          <w:rFonts w:hint="eastAsia" w:ascii="仿宋_GB2312" w:hAnsi="仿宋_GB2312" w:eastAsia="仿宋_GB2312" w:cs="仿宋_GB2312"/>
          <w:sz w:val="32"/>
          <w:szCs w:val="32"/>
        </w:rPr>
        <w:t>海域海蜇资源总量为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1283</w:t>
      </w:r>
      <w:r>
        <w:rPr>
          <w:rFonts w:hint="eastAsia" w:ascii="仿宋_GB2312" w:hAnsi="仿宋_GB2312" w:eastAsia="仿宋_GB2312" w:cs="仿宋_GB2312"/>
          <w:sz w:val="32"/>
          <w:szCs w:val="32"/>
        </w:rPr>
        <w:t>吨,最大可捕捞量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（捕捞限额总量）</w:t>
      </w:r>
      <w:r>
        <w:rPr>
          <w:rFonts w:hint="eastAsia" w:ascii="仿宋_GB2312" w:hAnsi="仿宋_GB2312" w:eastAsia="仿宋_GB2312" w:cs="仿宋_GB2312"/>
          <w:sz w:val="32"/>
          <w:szCs w:val="32"/>
        </w:rPr>
        <w:t>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770</w:t>
      </w:r>
      <w:r>
        <w:rPr>
          <w:rFonts w:hint="eastAsia" w:ascii="仿宋_GB2312" w:hAnsi="仿宋_GB2312" w:eastAsia="仿宋_GB2312" w:cs="仿宋_GB2312"/>
          <w:sz w:val="32"/>
          <w:szCs w:val="32"/>
        </w:rPr>
        <w:t>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；本</w:t>
      </w:r>
      <w:r>
        <w:rPr>
          <w:rFonts w:hint="eastAsia" w:ascii="仿宋_GB2312" w:hAnsi="宋体" w:eastAsia="仿宋_GB2312" w:cs="Times New Roman"/>
          <w:sz w:val="32"/>
          <w:szCs w:val="32"/>
        </w:rPr>
        <w:t>市管辖及向东延伸</w:t>
      </w:r>
      <w:r>
        <w:rPr>
          <w:rFonts w:hint="eastAsia" w:ascii="仿宋_GB2312" w:hAnsi="宋体" w:eastAsia="仿宋_GB2312" w:cs="Times New Roman"/>
          <w:sz w:val="32"/>
          <w:szCs w:val="32"/>
          <w:lang w:eastAsia="zh-CN"/>
        </w:rPr>
        <w:t>的</w:t>
      </w:r>
      <w:r>
        <w:rPr>
          <w:rFonts w:hint="eastAsia" w:ascii="仿宋_GB2312" w:hAnsi="宋体" w:eastAsia="仿宋_GB2312" w:cs="Times New Roman"/>
          <w:sz w:val="32"/>
          <w:szCs w:val="32"/>
        </w:rPr>
        <w:t>C2类渔区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桁杆拖虾</w:t>
      </w:r>
      <w:r>
        <w:rPr>
          <w:rFonts w:hint="eastAsia" w:ascii="仿宋_GB2312" w:hAnsi="仿宋_GB2312" w:eastAsia="仿宋_GB2312" w:cs="仿宋_GB2312"/>
          <w:sz w:val="32"/>
          <w:szCs w:val="32"/>
        </w:rPr>
        <w:t>最大可捕捞量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（捕捞限额总量）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5000吨。</w:t>
      </w:r>
    </w:p>
    <w:p>
      <w:pPr>
        <w:pStyle w:val="9"/>
        <w:spacing w:line="360" w:lineRule="auto"/>
        <w:ind w:left="600" w:firstLine="0" w:firstLineChars="0"/>
        <w:rPr>
          <w:rFonts w:ascii="楷体" w:hAnsi="楷体" w:eastAsia="楷体" w:cs="楷体"/>
          <w:b/>
          <w:sz w:val="32"/>
          <w:szCs w:val="32"/>
        </w:rPr>
      </w:pPr>
      <w:r>
        <w:rPr>
          <w:rFonts w:hint="eastAsia" w:ascii="楷体" w:hAnsi="楷体" w:eastAsia="楷体" w:cs="楷体"/>
          <w:b/>
          <w:sz w:val="32"/>
          <w:szCs w:val="32"/>
        </w:rPr>
        <w:t xml:space="preserve">（三）捕捞配额的分配和管理 </w:t>
      </w:r>
    </w:p>
    <w:p>
      <w:pPr>
        <w:spacing w:line="360" w:lineRule="auto"/>
        <w:ind w:firstLine="6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kern w:val="0"/>
          <w:sz w:val="32"/>
          <w:szCs w:val="32"/>
        </w:rPr>
        <w:t>1.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kern w:val="0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kern w:val="0"/>
          <w:sz w:val="32"/>
          <w:szCs w:val="32"/>
        </w:rPr>
        <w:t>配额分配：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按照公正、公平、公开原则，专项捕捞渔船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实施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捕捞产量配额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管理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。专项捕捞渔船捕捞配额量根据申请专项捕捞的渔船船数确定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，具体为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单船配额=</w:t>
      </w:r>
      <w:r>
        <w:rPr>
          <w:rFonts w:hint="eastAsia" w:ascii="仿宋_GB2312" w:hAnsi="仿宋_GB2312" w:eastAsia="仿宋_GB2312" w:cs="仿宋_GB2312"/>
          <w:sz w:val="32"/>
          <w:szCs w:val="32"/>
        </w:rPr>
        <w:t>最大可捕捞量/船数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并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在</w:t>
      </w:r>
      <w:r>
        <w:rPr>
          <w:rFonts w:hint="eastAsia" w:ascii="仿宋_GB2312" w:hAnsi="仿宋_GB2312" w:eastAsia="仿宋_GB2312" w:cs="仿宋_GB2312"/>
          <w:sz w:val="32"/>
          <w:szCs w:val="32"/>
        </w:rPr>
        <w:t>《专项证》载明。</w:t>
      </w:r>
    </w:p>
    <w:p>
      <w:pPr>
        <w:spacing w:line="360" w:lineRule="auto"/>
        <w:ind w:firstLine="643" w:firstLineChars="200"/>
        <w:rPr>
          <w:rFonts w:ascii="仿宋_GB2312" w:hAnsi="仿宋_GB2312" w:eastAsia="仿宋_GB2312" w:cs="仿宋_GB2312"/>
          <w:b/>
          <w:bCs/>
          <w:color w:val="000000" w:themeColor="text1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kern w:val="0"/>
          <w:sz w:val="32"/>
          <w:szCs w:val="32"/>
        </w:rPr>
        <w:t>2.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kern w:val="0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kern w:val="0"/>
          <w:sz w:val="32"/>
          <w:szCs w:val="32"/>
        </w:rPr>
        <w:t>配额的运行管理：</w:t>
      </w:r>
    </w:p>
    <w:p>
      <w:pPr>
        <w:spacing w:line="360" w:lineRule="auto"/>
        <w:ind w:firstLine="640" w:firstLineChars="200"/>
        <w:rPr>
          <w:rFonts w:hint="default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（1）定点上岸制度。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202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海蜇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专项捕捞渔船指定卸货点为芦潮港、中港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处，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桁杆拖虾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专项捕捞渔船指定卸货点为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横沙渔港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val="en-US" w:eastAsia="zh-CN"/>
        </w:rPr>
        <w:t>1处。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所有专项捕捞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渔船须在卸货点进行卸货交易（每艘渔船只能选择一处卸货点），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由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上海海洋大学记录渔获物上岸量（即配额的使用情况）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、渔获物幼鱼比例、兼捕作业情况。外省市渔船（包括辅助船）进入本市渔港应严格按照进出港报告制度提前报告。</w:t>
      </w:r>
    </w:p>
    <w:p>
      <w:pPr>
        <w:spacing w:line="360" w:lineRule="auto"/>
        <w:ind w:firstLine="640" w:firstLineChars="200"/>
        <w:rPr>
          <w:rFonts w:ascii="仿宋_GB2312" w:hAnsi="仿宋_GB2312" w:eastAsia="仿宋_GB2312" w:cs="仿宋_GB2312"/>
          <w:color w:val="000000" w:themeColor="text1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（2）渔捞日志制度。每艘专项捕捞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渔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船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须通过“渔港通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val="en-US" w:eastAsia="zh-CN"/>
        </w:rPr>
        <w:t>APP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”报送产量情况并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按规定填写渔捞日志，由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属地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渔政部门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对渔船的“渔港通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val="en-US" w:eastAsia="zh-CN"/>
        </w:rPr>
        <w:t>APP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”、渔捞日志、航行轨迹等进行核对检查。</w:t>
      </w:r>
    </w:p>
    <w:p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（3）配额完成预警。属地渔政部门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要对单船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配额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完成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90%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的渔船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出具预警通知单（详见附件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）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，对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完成配额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的渔船要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指令退出捕捞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作业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当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整体配额达到95%时，由市渔政部门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向所有渔船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发出预警通知。待所有专项捕捞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渔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船捕捞量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完成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配额或捕捞期结束后，由渔政船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对捕捞水域进行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巡航检查，清空捕捞水域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确保所有专项捕捞船回到所属地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。</w:t>
      </w:r>
    </w:p>
    <w:p>
      <w:pPr>
        <w:widowControl/>
        <w:shd w:val="clear" w:color="auto" w:fill="FFFFFF"/>
        <w:spacing w:line="360" w:lineRule="auto"/>
        <w:ind w:firstLine="643" w:firstLineChars="200"/>
        <w:jc w:val="both"/>
        <w:rPr>
          <w:rFonts w:ascii="仿宋_GB2312" w:hAnsi="仿宋_GB2312" w:eastAsia="仿宋_GB2312" w:cs="仿宋_GB2312"/>
          <w:b/>
          <w:bCs/>
          <w:color w:val="000000" w:themeColor="text1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kern w:val="0"/>
          <w:sz w:val="32"/>
          <w:szCs w:val="32"/>
        </w:rPr>
        <w:t>3.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kern w:val="0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kern w:val="0"/>
          <w:sz w:val="32"/>
          <w:szCs w:val="32"/>
        </w:rPr>
        <w:t>配额的监管保障：</w:t>
      </w:r>
    </w:p>
    <w:p>
      <w:pPr>
        <w:widowControl/>
        <w:shd w:val="clear" w:color="auto" w:fill="FFFFFF"/>
        <w:spacing w:line="360" w:lineRule="auto"/>
        <w:ind w:firstLine="640" w:firstLineChars="200"/>
        <w:jc w:val="both"/>
        <w:rPr>
          <w:rFonts w:ascii="仿宋_GB2312" w:hAnsi="仿宋_GB2312" w:eastAsia="仿宋_GB2312" w:cs="仿宋_GB2312"/>
          <w:color w:val="000000" w:themeColor="text1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（1）进出渔港（停泊点）报告制度。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市、区两级渔政部门要及时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掌握各渔船生产动态，结合定点上岸、渔捞日志制度，共同实施对渔船配额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完成情况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的动态监管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。</w:t>
      </w:r>
    </w:p>
    <w:p>
      <w:pPr>
        <w:widowControl/>
        <w:shd w:val="clear" w:color="auto" w:fill="FFFFFF"/>
        <w:spacing w:line="360" w:lineRule="auto"/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（2）船载信息系统全天候监控船位。专项捕捞期间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，专项捕捞渔船的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船载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信息系统必须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处于开机状态，并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及时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报告动态。渔船确因设备故障或中途回港的，需事先报告属地渔政部门备案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。</w:t>
      </w:r>
    </w:p>
    <w:p>
      <w:pPr>
        <w:widowControl/>
        <w:shd w:val="clear" w:color="auto" w:fill="FFFFFF"/>
        <w:spacing w:line="360" w:lineRule="auto"/>
        <w:ind w:firstLine="640" w:firstLineChars="200"/>
        <w:rPr>
          <w:rFonts w:ascii="仿宋_GB2312" w:hAnsi="仿宋_GB2312" w:eastAsia="仿宋_GB2312" w:cs="仿宋_GB2312"/>
          <w:color w:val="000000" w:themeColor="text1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（3）一线执法巡航监管。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市、区两级渔政部门要安排渔政船伴航执法并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组织专项执法行动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。定期对渔船和捕捞辅助船开展登临检查，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查处违法捕捞、瞒报产量、超配额捕捞、未按规定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报送“渔港通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val="en-US" w:eastAsia="zh-CN"/>
        </w:rPr>
        <w:t>APP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”和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填写《渔捞日志》、违反定点上岸、实际未出海捕捞等行为，并取消违规渔船次年申请资格。同时，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实行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限额捕捞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科学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观察员制度，由上海海洋大学派驻观察员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在专项捕捞期内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随部分渔船出海，进行生产记录、采集生物学数据、观察渔民生产情况。</w:t>
      </w:r>
    </w:p>
    <w:p>
      <w:pPr>
        <w:spacing w:line="360" w:lineRule="auto"/>
        <w:ind w:firstLine="643" w:firstLineChars="200"/>
        <w:rPr>
          <w:rFonts w:hint="eastAsia" w:ascii="黑体" w:hAnsi="黑体" w:eastAsia="黑体" w:cs="黑体"/>
          <w:b/>
          <w:sz w:val="32"/>
          <w:szCs w:val="32"/>
        </w:rPr>
      </w:pPr>
      <w:r>
        <w:rPr>
          <w:rFonts w:hint="eastAsia" w:ascii="黑体" w:hAnsi="黑体" w:eastAsia="黑体" w:cs="黑体"/>
          <w:b/>
          <w:sz w:val="32"/>
          <w:szCs w:val="32"/>
          <w:lang w:eastAsia="zh-CN"/>
        </w:rPr>
        <w:t>二、</w:t>
      </w:r>
      <w:r>
        <w:rPr>
          <w:rFonts w:hint="eastAsia" w:ascii="黑体" w:hAnsi="黑体" w:eastAsia="黑体" w:cs="黑体"/>
          <w:b/>
          <w:sz w:val="32"/>
          <w:szCs w:val="32"/>
        </w:rPr>
        <w:t>时间安排</w:t>
      </w:r>
    </w:p>
    <w:p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海蜇、桁杆拖虾</w:t>
      </w:r>
      <w:r>
        <w:rPr>
          <w:rFonts w:hint="eastAsia" w:ascii="仿宋_GB2312" w:hAnsi="仿宋_GB2312" w:eastAsia="仿宋_GB2312" w:cs="仿宋_GB2312"/>
          <w:sz w:val="32"/>
          <w:szCs w:val="32"/>
        </w:rPr>
        <w:t>专项捕捞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总体持续</w:t>
      </w:r>
      <w:r>
        <w:rPr>
          <w:rFonts w:hint="eastAsia" w:ascii="仿宋_GB2312" w:hAnsi="仿宋_GB2312" w:eastAsia="仿宋_GB2312" w:cs="仿宋_GB2312"/>
          <w:sz w:val="32"/>
          <w:szCs w:val="32"/>
        </w:rPr>
        <w:t>时间为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7月1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0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日12时至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9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16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日12时</w:t>
      </w:r>
      <w:r>
        <w:rPr>
          <w:rFonts w:hint="eastAsia" w:ascii="仿宋_GB2312" w:hAnsi="仿宋_GB2312" w:eastAsia="仿宋_GB2312" w:cs="仿宋_GB2312"/>
          <w:sz w:val="32"/>
          <w:szCs w:val="32"/>
        </w:rPr>
        <w:t>。具体分三个阶段：</w:t>
      </w:r>
    </w:p>
    <w:p>
      <w:pPr>
        <w:numPr>
          <w:ilvl w:val="0"/>
          <w:numId w:val="1"/>
        </w:numPr>
        <w:spacing w:line="360" w:lineRule="auto"/>
        <w:ind w:firstLine="643" w:firstLineChars="200"/>
        <w:rPr>
          <w:rFonts w:ascii="仿宋_GB2312" w:hAnsi="仿宋_GB2312" w:eastAsia="仿宋_GB2312" w:cs="仿宋_GB2312"/>
          <w:color w:val="000000" w:themeColor="text1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捕捞准备阶段（</w:t>
      </w:r>
      <w:r>
        <w:rPr>
          <w:rFonts w:hint="eastAsia" w:ascii="仿宋_GB2312" w:hAnsi="仿宋_GB2312" w:eastAsia="仿宋_GB2312" w:cs="仿宋_GB2312"/>
          <w:b/>
          <w:sz w:val="32"/>
          <w:szCs w:val="32"/>
          <w:lang w:eastAsia="zh-CN"/>
        </w:rPr>
        <w:t>202</w:t>
      </w:r>
      <w:r>
        <w:rPr>
          <w:rFonts w:hint="eastAsia" w:ascii="仿宋_GB2312" w:hAnsi="仿宋_GB2312" w:eastAsia="仿宋_GB2312" w:cs="仿宋_GB2312"/>
          <w:b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b/>
          <w:sz w:val="32"/>
          <w:szCs w:val="32"/>
        </w:rPr>
        <w:t>年6月-7月上旬）。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val="en-US" w:eastAsia="zh-CN"/>
        </w:rPr>
        <w:t>协同沿海各级渔业管理部门制定监管方案，明确责任分工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；组织申报专项许可证，</w:t>
      </w:r>
      <w:r>
        <w:rPr>
          <w:rFonts w:hint="eastAsia" w:ascii="仿宋_GB2312" w:hAnsi="仿宋_GB2312" w:eastAsia="仿宋_GB2312" w:cs="仿宋_GB2312"/>
          <w:sz w:val="32"/>
          <w:szCs w:val="32"/>
        </w:rPr>
        <w:t>制作发放《渔捞日志》，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属地</w:t>
      </w:r>
      <w:r>
        <w:rPr>
          <w:rFonts w:hint="eastAsia" w:ascii="仿宋_GB2312" w:hAnsi="仿宋_GB2312" w:eastAsia="仿宋_GB2312" w:cs="仿宋_GB2312"/>
          <w:sz w:val="32"/>
          <w:szCs w:val="32"/>
        </w:rPr>
        <w:t>渔政部门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上海海洋大学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制定渔获物定点上岸监管方案和排班表，建立渔获物登记核查制度。</w:t>
      </w:r>
    </w:p>
    <w:p>
      <w:pPr>
        <w:numPr>
          <w:ilvl w:val="0"/>
          <w:numId w:val="1"/>
        </w:numPr>
        <w:spacing w:line="360" w:lineRule="auto"/>
        <w:ind w:firstLine="643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具体实施阶段（</w:t>
      </w:r>
      <w:r>
        <w:rPr>
          <w:rFonts w:hint="eastAsia" w:ascii="仿宋_GB2312" w:hAnsi="仿宋_GB2312" w:eastAsia="仿宋_GB2312" w:cs="仿宋_GB2312"/>
          <w:b/>
          <w:sz w:val="32"/>
          <w:szCs w:val="32"/>
          <w:lang w:eastAsia="zh-CN"/>
        </w:rPr>
        <w:t>202</w:t>
      </w:r>
      <w:r>
        <w:rPr>
          <w:rFonts w:hint="eastAsia" w:ascii="仿宋_GB2312" w:hAnsi="仿宋_GB2312" w:eastAsia="仿宋_GB2312" w:cs="仿宋_GB2312"/>
          <w:b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b/>
          <w:sz w:val="32"/>
          <w:szCs w:val="32"/>
        </w:rPr>
        <w:t>年7月</w:t>
      </w:r>
      <w:r>
        <w:rPr>
          <w:rFonts w:hint="eastAsia" w:ascii="仿宋_GB2312" w:hAnsi="仿宋_GB2312" w:eastAsia="仿宋_GB2312" w:cs="仿宋_GB2312"/>
          <w:b/>
          <w:sz w:val="32"/>
          <w:szCs w:val="32"/>
          <w:lang w:eastAsia="zh-CN"/>
        </w:rPr>
        <w:t>上旬</w:t>
      </w:r>
      <w:r>
        <w:rPr>
          <w:rFonts w:hint="eastAsia" w:ascii="仿宋_GB2312" w:hAnsi="仿宋_GB2312" w:eastAsia="仿宋_GB2312" w:cs="仿宋_GB2312"/>
          <w:b/>
          <w:sz w:val="32"/>
          <w:szCs w:val="32"/>
          <w:lang w:val="en-US" w:eastAsia="zh-CN"/>
        </w:rPr>
        <w:t>-9月中旬</w:t>
      </w:r>
      <w:r>
        <w:rPr>
          <w:rFonts w:hint="eastAsia" w:ascii="仿宋_GB2312" w:hAnsi="仿宋_GB2312" w:eastAsia="仿宋_GB2312" w:cs="仿宋_GB2312"/>
          <w:b/>
          <w:sz w:val="32"/>
          <w:szCs w:val="32"/>
        </w:rPr>
        <w:t>）。</w:t>
      </w:r>
      <w:r>
        <w:rPr>
          <w:rFonts w:hint="eastAsia" w:ascii="仿宋_GB2312" w:hAnsi="仿宋_GB2312" w:eastAsia="仿宋_GB2312" w:cs="仿宋_GB2312"/>
          <w:b w:val="0"/>
          <w:color w:val="000000" w:themeColor="text1"/>
          <w:kern w:val="0"/>
          <w:sz w:val="32"/>
          <w:szCs w:val="32"/>
          <w:lang w:eastAsia="zh-CN"/>
        </w:rPr>
        <w:t>各级渔政部门按照监管方案组织开展一线执法巡查，依托本市长江口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信息化管控系统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，重点对专项捕捞渔船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进出港报告、渔获物定点卸货及产量统计、渔船标识管理、水上一线执法巡查等方面加强监管，全面实时管控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专项捕捞渔船，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确保专项捕捞规范可控。</w:t>
      </w:r>
    </w:p>
    <w:p>
      <w:pPr>
        <w:numPr>
          <w:ilvl w:val="0"/>
          <w:numId w:val="1"/>
        </w:numPr>
        <w:spacing w:line="360" w:lineRule="auto"/>
        <w:ind w:firstLine="643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全面总结阶段（</w:t>
      </w:r>
      <w:r>
        <w:rPr>
          <w:rFonts w:hint="eastAsia" w:ascii="仿宋_GB2312" w:hAnsi="仿宋_GB2312" w:eastAsia="仿宋_GB2312" w:cs="仿宋_GB2312"/>
          <w:b/>
          <w:sz w:val="32"/>
          <w:szCs w:val="32"/>
          <w:lang w:eastAsia="zh-CN"/>
        </w:rPr>
        <w:t>202</w:t>
      </w:r>
      <w:r>
        <w:rPr>
          <w:rFonts w:hint="eastAsia" w:ascii="仿宋_GB2312" w:hAnsi="仿宋_GB2312" w:eastAsia="仿宋_GB2312" w:cs="仿宋_GB2312"/>
          <w:b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b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b/>
          <w:sz w:val="32"/>
          <w:szCs w:val="32"/>
          <w:lang w:val="en-US" w:eastAsia="zh-CN"/>
        </w:rPr>
        <w:t>9</w:t>
      </w:r>
      <w:r>
        <w:rPr>
          <w:rFonts w:hint="eastAsia" w:ascii="仿宋_GB2312" w:hAnsi="仿宋_GB2312" w:eastAsia="仿宋_GB2312" w:cs="仿宋_GB2312"/>
          <w:b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b/>
          <w:sz w:val="32"/>
          <w:szCs w:val="32"/>
          <w:lang w:eastAsia="zh-CN"/>
        </w:rPr>
        <w:t>下旬</w:t>
      </w:r>
      <w:r>
        <w:rPr>
          <w:rFonts w:hint="eastAsia" w:ascii="仿宋_GB2312" w:hAnsi="仿宋_GB2312" w:eastAsia="仿宋_GB2312" w:cs="仿宋_GB2312"/>
          <w:b/>
          <w:sz w:val="32"/>
          <w:szCs w:val="32"/>
        </w:rPr>
        <w:t>）。</w:t>
      </w:r>
      <w:r>
        <w:rPr>
          <w:rFonts w:hint="eastAsia" w:ascii="仿宋_GB2312" w:hAnsi="仿宋_GB2312" w:eastAsia="仿宋_GB2312" w:cs="仿宋_GB2312"/>
          <w:sz w:val="32"/>
          <w:szCs w:val="32"/>
        </w:rPr>
        <w:t>结合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年伏休管理工作，总结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两项专项</w:t>
      </w:r>
      <w:r>
        <w:rPr>
          <w:rFonts w:hint="eastAsia" w:ascii="仿宋_GB2312" w:hAnsi="仿宋_GB2312" w:eastAsia="仿宋_GB2312" w:cs="仿宋_GB2312"/>
          <w:sz w:val="32"/>
          <w:szCs w:val="32"/>
        </w:rPr>
        <w:t>限额捕捞工作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成效、</w:t>
      </w:r>
      <w:r>
        <w:rPr>
          <w:rFonts w:hint="eastAsia" w:ascii="仿宋_GB2312" w:hAnsi="仿宋_GB2312" w:eastAsia="仿宋_GB2312" w:cs="仿宋_GB2312"/>
          <w:sz w:val="32"/>
          <w:szCs w:val="32"/>
        </w:rPr>
        <w:t>经验，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重点对水陆监管中存在问题进行梳理，形成书面</w:t>
      </w:r>
      <w:r>
        <w:rPr>
          <w:rFonts w:hint="eastAsia" w:ascii="仿宋_GB2312" w:hAnsi="仿宋_GB2312" w:eastAsia="仿宋_GB2312" w:cs="仿宋_GB2312"/>
          <w:sz w:val="32"/>
          <w:szCs w:val="32"/>
        </w:rPr>
        <w:t>工作总结，提出完善措施和建议。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同时由</w:t>
      </w:r>
      <w:r>
        <w:rPr>
          <w:rFonts w:hint="eastAsia" w:ascii="仿宋_GB2312" w:hAnsi="仿宋_GB2312" w:eastAsia="仿宋_GB2312" w:cs="仿宋_GB2312"/>
          <w:sz w:val="32"/>
          <w:szCs w:val="32"/>
        </w:rPr>
        <w:t>上海海洋大学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对两项专项捕捞监管和资源状况进行评估。</w:t>
      </w:r>
    </w:p>
    <w:p>
      <w:pPr>
        <w:spacing w:line="360" w:lineRule="auto"/>
        <w:ind w:firstLine="643" w:firstLineChars="200"/>
        <w:rPr>
          <w:rFonts w:ascii="仿宋_GB2312" w:hAnsi="仿宋_GB2312" w:eastAsia="仿宋_GB2312" w:cs="仿宋_GB2312"/>
          <w:color w:val="000000" w:themeColor="text1"/>
          <w:kern w:val="0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三、职责分工</w:t>
      </w:r>
    </w:p>
    <w:p>
      <w:pPr>
        <w:spacing w:line="360" w:lineRule="auto"/>
        <w:ind w:firstLine="640" w:firstLineChars="200"/>
        <w:rPr>
          <w:rFonts w:ascii="仿宋_GB2312" w:hAnsi="仿宋_GB2312" w:eastAsia="仿宋_GB2312" w:cs="仿宋_GB2312"/>
          <w:color w:val="000000" w:themeColor="text1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（一）市农业农村委负责统筹、协调、指导、推进专项限额工作，明确海蜇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、桁杆拖虾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限额捕捞总量、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印发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工作方案和通知，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组织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开展专项捕捞工作，确保专项捕捞顺利完成；</w:t>
      </w:r>
    </w:p>
    <w:p>
      <w:pPr>
        <w:spacing w:line="360" w:lineRule="auto"/>
        <w:ind w:firstLine="640" w:firstLineChars="200"/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二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）市农业农村委执法总队牵头制定海蜇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、桁杆拖虾专项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限额捕捞执法监管工作方案，协调属地渔政部门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和行政服务中心开展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《专项证》申报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组织一线执法行动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、加强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渔捞日志监管、配额完成预警、渔船进出渔港（停泊点）报告、船载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信息系统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监控等工作；</w:t>
      </w:r>
    </w:p>
    <w:p>
      <w:pPr>
        <w:spacing w:line="360" w:lineRule="auto"/>
        <w:ind w:firstLine="640" w:firstLineChars="200"/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三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）沿海各区农业农村委及其所属农业综合执法机构,负责制定属地管理工作方案，组织《专项证》申报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，确定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专项捕捞渔船船名册及其作业位置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，加强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渔船属地监管、定点港口码头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、水陆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一线执法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等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管理；</w:t>
      </w:r>
    </w:p>
    <w:p>
      <w:pPr>
        <w:widowControl/>
        <w:shd w:val="clear" w:color="auto" w:fill="FFFFFF"/>
        <w:spacing w:line="360" w:lineRule="auto"/>
        <w:ind w:firstLine="640" w:firstLineChars="200"/>
        <w:rPr>
          <w:rFonts w:ascii="仿宋_GB2312" w:hAnsi="仿宋_GB2312" w:eastAsia="仿宋_GB2312" w:cs="仿宋_GB2312"/>
          <w:color w:val="000000" w:themeColor="text1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（四）上海海洋大学负责限额捕捞渔船产量统计记录工作，统计渔获物品种、数量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；实行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随船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科学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观察员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制度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开展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生产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、兼产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记录、采集生物学数据、观察渔民生产情况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等工作，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捕捞结束后汇总形成限额捕捞评估报告；</w:t>
      </w:r>
    </w:p>
    <w:p>
      <w:pPr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</w:rPr>
        <w:t>（五）上海市水产研究所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</w:rPr>
        <w:t>、东海水产研究所分别</w:t>
      </w:r>
      <w:r>
        <w:rPr>
          <w:rFonts w:hint="eastAsia" w:ascii="仿宋_GB2312" w:hAnsi="仿宋_GB2312" w:eastAsia="仿宋_GB2312" w:cs="仿宋_GB2312"/>
          <w:sz w:val="32"/>
          <w:szCs w:val="32"/>
        </w:rPr>
        <w:t>负责杭州湾水域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、东海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C2类渔区</w:t>
      </w:r>
      <w:r>
        <w:rPr>
          <w:rFonts w:hint="eastAsia" w:ascii="仿宋_GB2312" w:hAnsi="仿宋_GB2312" w:eastAsia="仿宋_GB2312" w:cs="仿宋_GB2312"/>
          <w:sz w:val="32"/>
          <w:szCs w:val="32"/>
        </w:rPr>
        <w:t>渔业资源调查和动态监测、岸上社会调查，提供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相关水域渔业</w:t>
      </w:r>
      <w:r>
        <w:rPr>
          <w:rFonts w:hint="eastAsia" w:ascii="仿宋_GB2312" w:hAnsi="仿宋_GB2312" w:eastAsia="仿宋_GB2312" w:cs="仿宋_GB2312"/>
          <w:sz w:val="32"/>
          <w:szCs w:val="32"/>
        </w:rPr>
        <w:t>资源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监测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数据，协助市农业农村委制定工作方案。  </w:t>
      </w:r>
    </w:p>
    <w:p>
      <w:pPr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ind w:left="1440" w:hanging="1440" w:hangingChars="450"/>
        <w:jc w:val="left"/>
        <w:rPr>
          <w:rFonts w:hint="eastAsia" w:ascii="黑体" w:hAnsi="黑体" w:eastAsia="黑体" w:cs="黑体"/>
          <w:b/>
          <w:bCs/>
          <w:sz w:val="36"/>
          <w:szCs w:val="36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附件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1-1：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海蜇专项限额捕捞配额预警通知单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、桁杆拖虾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专项限额捕捞配额预警通知单</w:t>
      </w:r>
    </w:p>
    <w:p>
      <w:pPr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</w:t>
      </w:r>
    </w:p>
    <w:p>
      <w:pPr>
        <w:spacing w:line="360" w:lineRule="auto"/>
        <w:ind w:firstLine="0" w:firstLineChars="0"/>
        <w:rPr>
          <w:rFonts w:hint="eastAsia" w:ascii="仿宋_GB2312" w:hAnsi="仿宋_GB2312" w:eastAsia="仿宋_GB2312" w:cs="仿宋_GB2312"/>
          <w:sz w:val="32"/>
          <w:szCs w:val="32"/>
        </w:rPr>
        <w:sectPr>
          <w:headerReference r:id="rId3" w:type="default"/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>
      <w:pPr>
        <w:spacing w:line="360" w:lineRule="auto"/>
        <w:ind w:firstLine="0" w:firstLineChars="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附件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1-1</w:t>
      </w:r>
    </w:p>
    <w:p>
      <w:pPr>
        <w:spacing w:line="360" w:lineRule="auto"/>
        <w:ind w:firstLine="0" w:firstLineChars="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jc w:val="center"/>
        <w:rPr>
          <w:rFonts w:ascii="黑体" w:hAnsi="黑体" w:eastAsia="黑体" w:cs="黑体"/>
          <w:b/>
          <w:bCs/>
          <w:sz w:val="36"/>
          <w:szCs w:val="36"/>
        </w:rPr>
      </w:pPr>
      <w:r>
        <w:rPr>
          <w:rFonts w:hint="eastAsia" w:ascii="黑体" w:hAnsi="黑体" w:eastAsia="黑体" w:cs="黑体"/>
          <w:b/>
          <w:bCs/>
          <w:sz w:val="36"/>
          <w:szCs w:val="36"/>
        </w:rPr>
        <w:t>海蜇专项限额捕捞配额预警通知单</w:t>
      </w:r>
    </w:p>
    <w:p>
      <w:pPr>
        <w:jc w:val="center"/>
        <w:rPr>
          <w:rFonts w:ascii="宋体" w:hAnsi="宋体" w:eastAsia="宋体" w:cs="宋体"/>
          <w:b/>
          <w:bCs/>
          <w:sz w:val="28"/>
          <w:szCs w:val="28"/>
        </w:rPr>
      </w:pPr>
    </w:p>
    <w:p>
      <w:pPr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  <w:u w:val="single"/>
        </w:rPr>
        <w:t xml:space="preserve">              </w:t>
      </w:r>
      <w:r>
        <w:rPr>
          <w:rFonts w:hint="eastAsia" w:ascii="仿宋_GB2312" w:hAnsi="仿宋_GB2312" w:eastAsia="仿宋_GB2312" w:cs="仿宋_GB2312"/>
          <w:sz w:val="28"/>
          <w:szCs w:val="28"/>
        </w:rPr>
        <w:t>（船名号）：</w:t>
      </w:r>
    </w:p>
    <w:p>
      <w:pPr>
        <w:ind w:firstLine="560" w:firstLineChars="2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202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28"/>
          <w:szCs w:val="28"/>
        </w:rPr>
        <w:t xml:space="preserve">年海蜇专项捕捞单船核定的捕捞配额为  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28"/>
          <w:szCs w:val="28"/>
        </w:rPr>
        <w:t xml:space="preserve"> 吨（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sz w:val="28"/>
          <w:szCs w:val="28"/>
        </w:rPr>
        <w:t>千克/KG），并记载于《专项（特许）渔业捕捞许可证》。你船自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202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28"/>
          <w:szCs w:val="28"/>
        </w:rPr>
        <w:t>年7月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10</w:t>
      </w:r>
      <w:r>
        <w:rPr>
          <w:rFonts w:hint="eastAsia" w:ascii="仿宋_GB2312" w:hAnsi="仿宋_GB2312" w:eastAsia="仿宋_GB2312" w:cs="仿宋_GB2312"/>
          <w:sz w:val="28"/>
          <w:szCs w:val="28"/>
        </w:rPr>
        <w:t>日12时开展海蜇专项捕捞以来至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2022</w:t>
      </w:r>
      <w:r>
        <w:rPr>
          <w:rFonts w:hint="eastAsia" w:ascii="仿宋_GB2312" w:hAnsi="仿宋_GB2312" w:eastAsia="仿宋_GB2312" w:cs="仿宋_GB2312"/>
          <w:sz w:val="28"/>
          <w:szCs w:val="28"/>
        </w:rPr>
        <w:t xml:space="preserve">年7月   日    时，累计海蜇捕捞产量已达    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28"/>
          <w:szCs w:val="28"/>
        </w:rPr>
        <w:t>吨（      千克/KG），已达到配额的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90</w:t>
      </w:r>
      <w:r>
        <w:rPr>
          <w:rFonts w:hint="eastAsia" w:ascii="仿宋_GB2312" w:hAnsi="仿宋_GB2312" w:eastAsia="仿宋_GB2312" w:cs="仿宋_GB2312"/>
          <w:sz w:val="28"/>
          <w:szCs w:val="28"/>
        </w:rPr>
        <w:t>%。</w:t>
      </w:r>
    </w:p>
    <w:p>
      <w:pPr>
        <w:ind w:firstLine="560" w:firstLineChars="2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请严格按照核定配额开展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捕捞作业</w:t>
      </w:r>
      <w:r>
        <w:rPr>
          <w:rFonts w:hint="eastAsia" w:ascii="仿宋_GB2312" w:hAnsi="仿宋_GB2312" w:eastAsia="仿宋_GB2312" w:cs="仿宋_GB2312"/>
          <w:sz w:val="28"/>
          <w:szCs w:val="28"/>
        </w:rPr>
        <w:t>，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完成</w:t>
      </w:r>
      <w:r>
        <w:rPr>
          <w:rFonts w:hint="eastAsia" w:ascii="仿宋_GB2312" w:hAnsi="仿宋_GB2312" w:eastAsia="仿宋_GB2312" w:cs="仿宋_GB2312"/>
          <w:sz w:val="28"/>
          <w:szCs w:val="28"/>
        </w:rPr>
        <w:t>配额时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要</w:t>
      </w:r>
      <w:r>
        <w:rPr>
          <w:rFonts w:hint="eastAsia" w:ascii="仿宋_GB2312" w:hAnsi="仿宋_GB2312" w:eastAsia="仿宋_GB2312" w:cs="仿宋_GB2312"/>
          <w:sz w:val="28"/>
          <w:szCs w:val="28"/>
        </w:rPr>
        <w:t>主动返回定点卸货点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28"/>
          <w:szCs w:val="28"/>
        </w:rPr>
        <w:t>结束今年的专项捕捞生产，并将《专项（特许）渔业捕捞许可证》（原件）交区渔政部门备案。如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发生</w:t>
      </w:r>
      <w:r>
        <w:rPr>
          <w:rFonts w:hint="eastAsia" w:ascii="仿宋_GB2312" w:hAnsi="仿宋_GB2312" w:eastAsia="仿宋_GB2312" w:cs="仿宋_GB2312"/>
          <w:sz w:val="28"/>
          <w:szCs w:val="28"/>
        </w:rPr>
        <w:t>超配额捕捞行为，将按照《渔业捕捞许可管理规定》第四十一条、《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2023年</w:t>
      </w:r>
      <w:r>
        <w:rPr>
          <w:rFonts w:hint="eastAsia" w:ascii="仿宋_GB2312" w:hAnsi="仿宋_GB2312" w:eastAsia="仿宋_GB2312" w:cs="仿宋_GB2312"/>
          <w:sz w:val="28"/>
          <w:szCs w:val="28"/>
        </w:rPr>
        <w:t>上海市伏休期间海蜇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专项</w:t>
      </w:r>
      <w:r>
        <w:rPr>
          <w:rFonts w:hint="eastAsia" w:ascii="仿宋_GB2312" w:hAnsi="仿宋_GB2312" w:eastAsia="仿宋_GB2312" w:cs="仿宋_GB2312"/>
          <w:sz w:val="28"/>
          <w:szCs w:val="28"/>
        </w:rPr>
        <w:t>限额捕捞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实施</w:t>
      </w:r>
      <w:r>
        <w:rPr>
          <w:rFonts w:hint="eastAsia" w:ascii="仿宋_GB2312" w:hAnsi="仿宋_GB2312" w:eastAsia="仿宋_GB2312" w:cs="仿宋_GB2312"/>
          <w:sz w:val="28"/>
          <w:szCs w:val="28"/>
        </w:rPr>
        <w:t>方案》相关规定，不予通过《渔业捕捞许可证》年审，并取消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次</w:t>
      </w:r>
      <w:r>
        <w:rPr>
          <w:rFonts w:hint="eastAsia" w:ascii="仿宋_GB2312" w:hAnsi="仿宋_GB2312" w:eastAsia="仿宋_GB2312" w:cs="仿宋_GB2312"/>
          <w:sz w:val="28"/>
          <w:szCs w:val="28"/>
        </w:rPr>
        <w:t>年专项捕捞申请资格。</w:t>
      </w:r>
    </w:p>
    <w:p>
      <w:pPr>
        <w:ind w:left="3920" w:hanging="3920" w:hangingChars="14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 xml:space="preserve">                     区渔政执法人员（签字）：</w:t>
      </w:r>
    </w:p>
    <w:p>
      <w:pPr>
        <w:ind w:left="3920" w:hanging="3920" w:hangingChars="14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 xml:space="preserve">                       科研单位人员（签字）：</w:t>
      </w:r>
    </w:p>
    <w:p>
      <w:pPr>
        <w:ind w:left="3920" w:hanging="3920" w:hangingChars="1400"/>
        <w:jc w:val="left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 xml:space="preserve">                                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28"/>
          <w:szCs w:val="28"/>
        </w:rPr>
        <w:t xml:space="preserve"> 上海市农业农村委员会                                                     </w:t>
      </w:r>
    </w:p>
    <w:p>
      <w:pPr>
        <w:ind w:left="4469" w:leftChars="2128" w:firstLine="1120" w:firstLineChars="400"/>
        <w:jc w:val="left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202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28"/>
          <w:szCs w:val="28"/>
        </w:rPr>
        <w:t>年7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月</w:t>
      </w:r>
      <w:r>
        <w:rPr>
          <w:rFonts w:hint="eastAsia" w:ascii="仿宋_GB2312" w:hAnsi="仿宋_GB2312" w:eastAsia="仿宋_GB2312" w:cs="仿宋_GB2312"/>
          <w:sz w:val="28"/>
          <w:szCs w:val="28"/>
        </w:rPr>
        <w:t xml:space="preserve">   日</w:t>
      </w:r>
    </w:p>
    <w:p>
      <w:pPr>
        <w:ind w:firstLine="2520" w:firstLineChars="900"/>
        <w:jc w:val="left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（本通知单一式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三</w:t>
      </w:r>
      <w:r>
        <w:rPr>
          <w:rFonts w:hint="eastAsia" w:ascii="仿宋_GB2312" w:hAnsi="仿宋_GB2312" w:eastAsia="仿宋_GB2312" w:cs="仿宋_GB2312"/>
          <w:sz w:val="28"/>
          <w:szCs w:val="28"/>
        </w:rPr>
        <w:t>份）</w:t>
      </w:r>
    </w:p>
    <w:p>
      <w:pPr>
        <w:spacing w:line="360" w:lineRule="auto"/>
        <w:ind w:firstLine="0" w:firstLineChars="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jc w:val="center"/>
        <w:rPr>
          <w:rFonts w:ascii="黑体" w:hAnsi="黑体" w:eastAsia="黑体" w:cs="黑体"/>
          <w:b/>
          <w:bCs/>
          <w:sz w:val="36"/>
          <w:szCs w:val="36"/>
        </w:rPr>
      </w:pPr>
      <w:r>
        <w:rPr>
          <w:rFonts w:hint="eastAsia" w:ascii="黑体" w:hAnsi="黑体" w:eastAsia="黑体" w:cs="黑体"/>
          <w:b/>
          <w:bCs/>
          <w:sz w:val="36"/>
          <w:szCs w:val="36"/>
          <w:lang w:eastAsia="zh-CN"/>
        </w:rPr>
        <w:t>桁杆拖虾</w:t>
      </w:r>
      <w:r>
        <w:rPr>
          <w:rFonts w:hint="eastAsia" w:ascii="黑体" w:hAnsi="黑体" w:eastAsia="黑体" w:cs="黑体"/>
          <w:b/>
          <w:bCs/>
          <w:sz w:val="36"/>
          <w:szCs w:val="36"/>
        </w:rPr>
        <w:t>专项限额捕捞配额预警通知单</w:t>
      </w:r>
    </w:p>
    <w:p>
      <w:pPr>
        <w:jc w:val="center"/>
        <w:rPr>
          <w:rFonts w:ascii="宋体" w:hAnsi="宋体" w:eastAsia="宋体" w:cs="宋体"/>
          <w:b/>
          <w:bCs/>
          <w:sz w:val="28"/>
          <w:szCs w:val="28"/>
        </w:rPr>
      </w:pPr>
    </w:p>
    <w:p>
      <w:pPr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  <w:u w:val="single"/>
        </w:rPr>
        <w:t xml:space="preserve">              </w:t>
      </w:r>
      <w:r>
        <w:rPr>
          <w:rFonts w:hint="eastAsia" w:ascii="仿宋_GB2312" w:hAnsi="仿宋_GB2312" w:eastAsia="仿宋_GB2312" w:cs="仿宋_GB2312"/>
          <w:sz w:val="28"/>
          <w:szCs w:val="28"/>
        </w:rPr>
        <w:t>（船名号）：</w:t>
      </w:r>
    </w:p>
    <w:p>
      <w:pPr>
        <w:ind w:firstLine="560" w:firstLineChars="2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202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28"/>
          <w:szCs w:val="28"/>
        </w:rPr>
        <w:t>年</w:t>
      </w:r>
      <w:r>
        <w:rPr>
          <w:rFonts w:hint="eastAsia" w:ascii="仿宋_GB2312" w:hAnsi="仿宋_GB2312" w:eastAsia="仿宋_GB2312" w:cs="仿宋_GB2312"/>
          <w:b w:val="0"/>
          <w:bCs w:val="0"/>
          <w:sz w:val="28"/>
          <w:szCs w:val="28"/>
          <w:lang w:eastAsia="zh-CN"/>
        </w:rPr>
        <w:t>桁杆拖虾</w:t>
      </w:r>
      <w:r>
        <w:rPr>
          <w:rFonts w:hint="eastAsia" w:ascii="仿宋_GB2312" w:hAnsi="仿宋_GB2312" w:eastAsia="仿宋_GB2312" w:cs="仿宋_GB2312"/>
          <w:sz w:val="28"/>
          <w:szCs w:val="28"/>
        </w:rPr>
        <w:t xml:space="preserve">专项捕捞单船核定的捕捞配额为  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28"/>
          <w:szCs w:val="28"/>
        </w:rPr>
        <w:t xml:space="preserve"> 吨（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sz w:val="28"/>
          <w:szCs w:val="28"/>
        </w:rPr>
        <w:t>千克/KG），并记载于《专项（特许）渔业捕捞许可证》。你船自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202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28"/>
          <w:szCs w:val="28"/>
        </w:rPr>
        <w:t>年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sz w:val="28"/>
          <w:szCs w:val="28"/>
        </w:rPr>
        <w:t>月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28"/>
          <w:szCs w:val="28"/>
        </w:rPr>
        <w:t>日12时开展海蜇专项捕捞以来至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202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28"/>
          <w:szCs w:val="28"/>
        </w:rPr>
        <w:t>年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28"/>
          <w:szCs w:val="28"/>
        </w:rPr>
        <w:t>月   日    时，累计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渔获物</w:t>
      </w:r>
      <w:r>
        <w:rPr>
          <w:rFonts w:hint="eastAsia" w:ascii="仿宋_GB2312" w:hAnsi="仿宋_GB2312" w:eastAsia="仿宋_GB2312" w:cs="仿宋_GB2312"/>
          <w:sz w:val="28"/>
          <w:szCs w:val="28"/>
        </w:rPr>
        <w:t xml:space="preserve">捕捞产量已达    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28"/>
          <w:szCs w:val="28"/>
        </w:rPr>
        <w:t>吨（      千克/KG），已达到配额的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90</w:t>
      </w:r>
      <w:r>
        <w:rPr>
          <w:rFonts w:hint="eastAsia" w:ascii="仿宋_GB2312" w:hAnsi="仿宋_GB2312" w:eastAsia="仿宋_GB2312" w:cs="仿宋_GB2312"/>
          <w:sz w:val="28"/>
          <w:szCs w:val="28"/>
        </w:rPr>
        <w:t>%。</w:t>
      </w:r>
    </w:p>
    <w:p>
      <w:pPr>
        <w:ind w:firstLine="560" w:firstLineChars="2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请严格按照核定配额开展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捕捞作业</w:t>
      </w:r>
      <w:r>
        <w:rPr>
          <w:rFonts w:hint="eastAsia" w:ascii="仿宋_GB2312" w:hAnsi="仿宋_GB2312" w:eastAsia="仿宋_GB2312" w:cs="仿宋_GB2312"/>
          <w:sz w:val="28"/>
          <w:szCs w:val="28"/>
        </w:rPr>
        <w:t>，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完成</w:t>
      </w:r>
      <w:r>
        <w:rPr>
          <w:rFonts w:hint="eastAsia" w:ascii="仿宋_GB2312" w:hAnsi="仿宋_GB2312" w:eastAsia="仿宋_GB2312" w:cs="仿宋_GB2312"/>
          <w:sz w:val="28"/>
          <w:szCs w:val="28"/>
        </w:rPr>
        <w:t>配额时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要</w:t>
      </w:r>
      <w:r>
        <w:rPr>
          <w:rFonts w:hint="eastAsia" w:ascii="仿宋_GB2312" w:hAnsi="仿宋_GB2312" w:eastAsia="仿宋_GB2312" w:cs="仿宋_GB2312"/>
          <w:sz w:val="28"/>
          <w:szCs w:val="28"/>
        </w:rPr>
        <w:t>主动返回定点卸货点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28"/>
          <w:szCs w:val="28"/>
        </w:rPr>
        <w:t>结束今年的专项捕捞生产，并将《专项（特许）渔业捕捞许可证》（原件）交区渔政部门备案。如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发生</w:t>
      </w:r>
      <w:r>
        <w:rPr>
          <w:rFonts w:hint="eastAsia" w:ascii="仿宋_GB2312" w:hAnsi="仿宋_GB2312" w:eastAsia="仿宋_GB2312" w:cs="仿宋_GB2312"/>
          <w:sz w:val="28"/>
          <w:szCs w:val="28"/>
        </w:rPr>
        <w:t>超配额捕捞行为，将按照《渔业捕捞许可管理规定》第四十一条、《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2023年</w:t>
      </w:r>
      <w:r>
        <w:rPr>
          <w:rFonts w:hint="eastAsia" w:ascii="仿宋_GB2312" w:hAnsi="仿宋_GB2312" w:eastAsia="仿宋_GB2312" w:cs="仿宋_GB2312"/>
          <w:sz w:val="28"/>
          <w:szCs w:val="28"/>
        </w:rPr>
        <w:t>上海市伏休期间海蜇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专项</w:t>
      </w:r>
      <w:r>
        <w:rPr>
          <w:rFonts w:hint="eastAsia" w:ascii="仿宋_GB2312" w:hAnsi="仿宋_GB2312" w:eastAsia="仿宋_GB2312" w:cs="仿宋_GB2312"/>
          <w:sz w:val="28"/>
          <w:szCs w:val="28"/>
        </w:rPr>
        <w:t>限额捕捞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实施</w:t>
      </w:r>
      <w:r>
        <w:rPr>
          <w:rFonts w:hint="eastAsia" w:ascii="仿宋_GB2312" w:hAnsi="仿宋_GB2312" w:eastAsia="仿宋_GB2312" w:cs="仿宋_GB2312"/>
          <w:sz w:val="28"/>
          <w:szCs w:val="28"/>
        </w:rPr>
        <w:t>方案》相关规定，不予通过《渔业捕捞许可证》年审，并取消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次</w:t>
      </w:r>
      <w:r>
        <w:rPr>
          <w:rFonts w:hint="eastAsia" w:ascii="仿宋_GB2312" w:hAnsi="仿宋_GB2312" w:eastAsia="仿宋_GB2312" w:cs="仿宋_GB2312"/>
          <w:sz w:val="28"/>
          <w:szCs w:val="28"/>
        </w:rPr>
        <w:t>年专项捕捞申请资格。</w:t>
      </w:r>
    </w:p>
    <w:p>
      <w:pPr>
        <w:ind w:left="3920" w:hanging="3920" w:hangingChars="14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 xml:space="preserve">                     区渔政执法人员（签字）：</w:t>
      </w:r>
    </w:p>
    <w:p>
      <w:pPr>
        <w:ind w:left="3920" w:hanging="3920" w:hangingChars="14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 xml:space="preserve">                       科研单位人员（签字）：</w:t>
      </w:r>
    </w:p>
    <w:p>
      <w:pPr>
        <w:ind w:left="3920" w:hanging="3920" w:hangingChars="1400"/>
        <w:jc w:val="left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 xml:space="preserve">                                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28"/>
          <w:szCs w:val="28"/>
        </w:rPr>
        <w:t xml:space="preserve"> 上海市农业农村委员会                                                     </w:t>
      </w:r>
    </w:p>
    <w:p>
      <w:pPr>
        <w:ind w:left="4469" w:leftChars="2128" w:firstLine="1120" w:firstLineChars="400"/>
        <w:jc w:val="left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202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28"/>
          <w:szCs w:val="28"/>
        </w:rPr>
        <w:t>年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月</w:t>
      </w:r>
      <w:r>
        <w:rPr>
          <w:rFonts w:hint="eastAsia" w:ascii="仿宋_GB2312" w:hAnsi="仿宋_GB2312" w:eastAsia="仿宋_GB2312" w:cs="仿宋_GB2312"/>
          <w:sz w:val="28"/>
          <w:szCs w:val="28"/>
        </w:rPr>
        <w:t xml:space="preserve">   日</w:t>
      </w:r>
    </w:p>
    <w:p>
      <w:pPr>
        <w:spacing w:line="240" w:lineRule="auto"/>
        <w:ind w:firstLine="2520" w:firstLineChars="9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（本通知单一式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三</w:t>
      </w:r>
      <w:r>
        <w:rPr>
          <w:rFonts w:hint="eastAsia" w:ascii="仿宋_GB2312" w:hAnsi="仿宋_GB2312" w:eastAsia="仿宋_GB2312" w:cs="仿宋_GB2312"/>
          <w:sz w:val="28"/>
          <w:szCs w:val="28"/>
        </w:rPr>
        <w:t>份）</w:t>
      </w:r>
    </w:p>
    <w:p>
      <w:pPr>
        <w:spacing w:line="240" w:lineRule="auto"/>
        <w:ind w:firstLine="2880" w:firstLineChars="900"/>
        <w:jc w:val="left"/>
        <w:rPr>
          <w:rFonts w:ascii="仿宋_GB2312" w:hAnsi="仿宋_GB2312" w:eastAsia="仿宋_GB2312" w:cs="仿宋_GB2312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黑体_GBK">
    <w:altName w:val="Arial Unicode MS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477C787"/>
    <w:multiLevelType w:val="singleLevel"/>
    <w:tmpl w:val="B477C787"/>
    <w:lvl w:ilvl="0" w:tentative="0">
      <w:start w:val="1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trackRevisions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YzNiNmU3ODBhNjNmMzM1ZWY3YmI4MzliOTY3NGMxNzMifQ=="/>
  </w:docVars>
  <w:rsids>
    <w:rsidRoot w:val="00F0751A"/>
    <w:rsid w:val="0000506D"/>
    <w:rsid w:val="00015E1B"/>
    <w:rsid w:val="000277CC"/>
    <w:rsid w:val="00071B8E"/>
    <w:rsid w:val="000939BA"/>
    <w:rsid w:val="000D51DC"/>
    <w:rsid w:val="000E30CA"/>
    <w:rsid w:val="000E6E55"/>
    <w:rsid w:val="00100888"/>
    <w:rsid w:val="00127120"/>
    <w:rsid w:val="00137EEF"/>
    <w:rsid w:val="0018492C"/>
    <w:rsid w:val="001B2613"/>
    <w:rsid w:val="001E6033"/>
    <w:rsid w:val="002254A0"/>
    <w:rsid w:val="00231E43"/>
    <w:rsid w:val="002B5D44"/>
    <w:rsid w:val="002C1807"/>
    <w:rsid w:val="00317B92"/>
    <w:rsid w:val="003C164D"/>
    <w:rsid w:val="003C3EDA"/>
    <w:rsid w:val="003E3FD7"/>
    <w:rsid w:val="00406923"/>
    <w:rsid w:val="00427737"/>
    <w:rsid w:val="004424D6"/>
    <w:rsid w:val="00466D42"/>
    <w:rsid w:val="004B02EE"/>
    <w:rsid w:val="004B44E6"/>
    <w:rsid w:val="004C2DB0"/>
    <w:rsid w:val="004C46DF"/>
    <w:rsid w:val="004F64C2"/>
    <w:rsid w:val="00506DBB"/>
    <w:rsid w:val="00583B07"/>
    <w:rsid w:val="00584A57"/>
    <w:rsid w:val="0059232E"/>
    <w:rsid w:val="005A01A7"/>
    <w:rsid w:val="005A2B18"/>
    <w:rsid w:val="005C5A62"/>
    <w:rsid w:val="005E12E5"/>
    <w:rsid w:val="00626C30"/>
    <w:rsid w:val="00627327"/>
    <w:rsid w:val="0065715B"/>
    <w:rsid w:val="00675C3C"/>
    <w:rsid w:val="00696099"/>
    <w:rsid w:val="006A4F1B"/>
    <w:rsid w:val="006C0815"/>
    <w:rsid w:val="006C29F1"/>
    <w:rsid w:val="006D3805"/>
    <w:rsid w:val="006F5BD1"/>
    <w:rsid w:val="00722929"/>
    <w:rsid w:val="00723B89"/>
    <w:rsid w:val="00724800"/>
    <w:rsid w:val="00725945"/>
    <w:rsid w:val="00725D1A"/>
    <w:rsid w:val="007340CC"/>
    <w:rsid w:val="00745098"/>
    <w:rsid w:val="00773457"/>
    <w:rsid w:val="007D4901"/>
    <w:rsid w:val="007E49E6"/>
    <w:rsid w:val="00860C09"/>
    <w:rsid w:val="008637DC"/>
    <w:rsid w:val="008D76AD"/>
    <w:rsid w:val="008F2B19"/>
    <w:rsid w:val="00911EC1"/>
    <w:rsid w:val="009267E5"/>
    <w:rsid w:val="00932EC1"/>
    <w:rsid w:val="00962011"/>
    <w:rsid w:val="0096549D"/>
    <w:rsid w:val="009823DD"/>
    <w:rsid w:val="00A12A27"/>
    <w:rsid w:val="00A26F91"/>
    <w:rsid w:val="00B56E59"/>
    <w:rsid w:val="00B8569A"/>
    <w:rsid w:val="00B86D36"/>
    <w:rsid w:val="00BE0C63"/>
    <w:rsid w:val="00C175E3"/>
    <w:rsid w:val="00C22D31"/>
    <w:rsid w:val="00CD572A"/>
    <w:rsid w:val="00D52381"/>
    <w:rsid w:val="00D97C0B"/>
    <w:rsid w:val="00E36096"/>
    <w:rsid w:val="00E7114B"/>
    <w:rsid w:val="00E97001"/>
    <w:rsid w:val="00ED1235"/>
    <w:rsid w:val="00F0751A"/>
    <w:rsid w:val="00F53D84"/>
    <w:rsid w:val="00F70C03"/>
    <w:rsid w:val="00F868DC"/>
    <w:rsid w:val="02135952"/>
    <w:rsid w:val="029C72ED"/>
    <w:rsid w:val="03823D16"/>
    <w:rsid w:val="044B7EC1"/>
    <w:rsid w:val="05491A92"/>
    <w:rsid w:val="06E60791"/>
    <w:rsid w:val="06E713A2"/>
    <w:rsid w:val="07353EAE"/>
    <w:rsid w:val="07934DFF"/>
    <w:rsid w:val="0A052CDC"/>
    <w:rsid w:val="0A744571"/>
    <w:rsid w:val="0AB07F84"/>
    <w:rsid w:val="0CB47C7B"/>
    <w:rsid w:val="0D5C7888"/>
    <w:rsid w:val="0DB7FAA9"/>
    <w:rsid w:val="0DEA5390"/>
    <w:rsid w:val="0DF05089"/>
    <w:rsid w:val="0E2366AE"/>
    <w:rsid w:val="0E85477B"/>
    <w:rsid w:val="0EBB481D"/>
    <w:rsid w:val="0F092CD4"/>
    <w:rsid w:val="0F933018"/>
    <w:rsid w:val="0FDF3728"/>
    <w:rsid w:val="10C151A5"/>
    <w:rsid w:val="11904844"/>
    <w:rsid w:val="11A7688F"/>
    <w:rsid w:val="132B44CE"/>
    <w:rsid w:val="136665BD"/>
    <w:rsid w:val="13A765A4"/>
    <w:rsid w:val="14C354FB"/>
    <w:rsid w:val="151F1B32"/>
    <w:rsid w:val="153B07D6"/>
    <w:rsid w:val="174375E8"/>
    <w:rsid w:val="17DB06BB"/>
    <w:rsid w:val="191D39D7"/>
    <w:rsid w:val="1B2B17C8"/>
    <w:rsid w:val="1BA05BDC"/>
    <w:rsid w:val="1D4D75AF"/>
    <w:rsid w:val="1E06707D"/>
    <w:rsid w:val="1E12347F"/>
    <w:rsid w:val="1E8B6BC2"/>
    <w:rsid w:val="1E934BA4"/>
    <w:rsid w:val="1EAF1114"/>
    <w:rsid w:val="1FC8711E"/>
    <w:rsid w:val="201B662E"/>
    <w:rsid w:val="212C00E7"/>
    <w:rsid w:val="21F611FE"/>
    <w:rsid w:val="25AE088D"/>
    <w:rsid w:val="2602136A"/>
    <w:rsid w:val="262E4350"/>
    <w:rsid w:val="27BF56D4"/>
    <w:rsid w:val="27E21846"/>
    <w:rsid w:val="27E6182E"/>
    <w:rsid w:val="27F0300E"/>
    <w:rsid w:val="299F3FE7"/>
    <w:rsid w:val="29D92463"/>
    <w:rsid w:val="2A5D3C79"/>
    <w:rsid w:val="2B012BD9"/>
    <w:rsid w:val="2B330964"/>
    <w:rsid w:val="2CFFE990"/>
    <w:rsid w:val="2D3E4482"/>
    <w:rsid w:val="2D4B742E"/>
    <w:rsid w:val="2DFF3E1B"/>
    <w:rsid w:val="2E386BB8"/>
    <w:rsid w:val="2FBF1AA5"/>
    <w:rsid w:val="2FDC3C04"/>
    <w:rsid w:val="2FFBEB2B"/>
    <w:rsid w:val="30E729A8"/>
    <w:rsid w:val="31353DE9"/>
    <w:rsid w:val="31460F33"/>
    <w:rsid w:val="314B64A9"/>
    <w:rsid w:val="317C3525"/>
    <w:rsid w:val="333334C7"/>
    <w:rsid w:val="338B6A75"/>
    <w:rsid w:val="34A76BC9"/>
    <w:rsid w:val="34EA4A3E"/>
    <w:rsid w:val="34FD8EAF"/>
    <w:rsid w:val="35807CD0"/>
    <w:rsid w:val="35D3279C"/>
    <w:rsid w:val="37234E5A"/>
    <w:rsid w:val="373A47C3"/>
    <w:rsid w:val="388D0F6D"/>
    <w:rsid w:val="38C47F86"/>
    <w:rsid w:val="397B0CFF"/>
    <w:rsid w:val="398112F8"/>
    <w:rsid w:val="39C8518A"/>
    <w:rsid w:val="39F79A8E"/>
    <w:rsid w:val="3A7F116E"/>
    <w:rsid w:val="3AB338C6"/>
    <w:rsid w:val="3C1708D8"/>
    <w:rsid w:val="3C6F7A32"/>
    <w:rsid w:val="3C8D4C99"/>
    <w:rsid w:val="3CBEFA0F"/>
    <w:rsid w:val="3D460955"/>
    <w:rsid w:val="3DDE9C6A"/>
    <w:rsid w:val="3E05119B"/>
    <w:rsid w:val="3F419461"/>
    <w:rsid w:val="3F5B7561"/>
    <w:rsid w:val="3F5F7738"/>
    <w:rsid w:val="3F99A475"/>
    <w:rsid w:val="3FCBF8BA"/>
    <w:rsid w:val="3FFED590"/>
    <w:rsid w:val="40711BEB"/>
    <w:rsid w:val="41460E6A"/>
    <w:rsid w:val="41996B8D"/>
    <w:rsid w:val="41EA5149"/>
    <w:rsid w:val="427D15B8"/>
    <w:rsid w:val="42A844B3"/>
    <w:rsid w:val="42F71A16"/>
    <w:rsid w:val="433B217A"/>
    <w:rsid w:val="43D22871"/>
    <w:rsid w:val="44E36463"/>
    <w:rsid w:val="45053297"/>
    <w:rsid w:val="451C430D"/>
    <w:rsid w:val="458F6006"/>
    <w:rsid w:val="45FF7AA6"/>
    <w:rsid w:val="46095203"/>
    <w:rsid w:val="469CE66E"/>
    <w:rsid w:val="487E4D68"/>
    <w:rsid w:val="488E43C3"/>
    <w:rsid w:val="49920819"/>
    <w:rsid w:val="49EFF4B4"/>
    <w:rsid w:val="4A3F5044"/>
    <w:rsid w:val="4B3303FA"/>
    <w:rsid w:val="4BB62ECA"/>
    <w:rsid w:val="4C846B76"/>
    <w:rsid w:val="4C890DE4"/>
    <w:rsid w:val="4D941007"/>
    <w:rsid w:val="4E5B8BF5"/>
    <w:rsid w:val="4E9F7065"/>
    <w:rsid w:val="4FB74EBA"/>
    <w:rsid w:val="4FBA23E6"/>
    <w:rsid w:val="503D71DD"/>
    <w:rsid w:val="505215F5"/>
    <w:rsid w:val="50750940"/>
    <w:rsid w:val="50A2322D"/>
    <w:rsid w:val="518B6A03"/>
    <w:rsid w:val="51C5737D"/>
    <w:rsid w:val="51FF46EB"/>
    <w:rsid w:val="53FFC6BE"/>
    <w:rsid w:val="542C26EB"/>
    <w:rsid w:val="54C21D3F"/>
    <w:rsid w:val="556917E0"/>
    <w:rsid w:val="556C5C25"/>
    <w:rsid w:val="55B061E3"/>
    <w:rsid w:val="55D1349A"/>
    <w:rsid w:val="56B83E5F"/>
    <w:rsid w:val="579F0F82"/>
    <w:rsid w:val="57AFFB6F"/>
    <w:rsid w:val="57FC1FBA"/>
    <w:rsid w:val="5872765E"/>
    <w:rsid w:val="58E45BE6"/>
    <w:rsid w:val="597867E7"/>
    <w:rsid w:val="59B15DE2"/>
    <w:rsid w:val="5A4D6D45"/>
    <w:rsid w:val="5A7476E0"/>
    <w:rsid w:val="5ABE6B03"/>
    <w:rsid w:val="5C0072F6"/>
    <w:rsid w:val="5CEFD6F9"/>
    <w:rsid w:val="5DF7596E"/>
    <w:rsid w:val="5DF7ACE5"/>
    <w:rsid w:val="5DFF2CCB"/>
    <w:rsid w:val="5EAFFACB"/>
    <w:rsid w:val="5F6D27FF"/>
    <w:rsid w:val="5FD6504F"/>
    <w:rsid w:val="5FDD56E7"/>
    <w:rsid w:val="5FF7037E"/>
    <w:rsid w:val="5FFF9E07"/>
    <w:rsid w:val="603215CE"/>
    <w:rsid w:val="60B72C28"/>
    <w:rsid w:val="61995562"/>
    <w:rsid w:val="61DDFAC5"/>
    <w:rsid w:val="61FB9F76"/>
    <w:rsid w:val="62747EC5"/>
    <w:rsid w:val="63314BF4"/>
    <w:rsid w:val="640A0544"/>
    <w:rsid w:val="65CA5E03"/>
    <w:rsid w:val="65E40313"/>
    <w:rsid w:val="65EF8254"/>
    <w:rsid w:val="66806A79"/>
    <w:rsid w:val="66F70955"/>
    <w:rsid w:val="67037E64"/>
    <w:rsid w:val="67054F6A"/>
    <w:rsid w:val="67814CF1"/>
    <w:rsid w:val="67FBBD89"/>
    <w:rsid w:val="689352B2"/>
    <w:rsid w:val="689E2214"/>
    <w:rsid w:val="68E76ED2"/>
    <w:rsid w:val="69BEE34F"/>
    <w:rsid w:val="6A023CE5"/>
    <w:rsid w:val="6A75D360"/>
    <w:rsid w:val="6ACB1448"/>
    <w:rsid w:val="6B3EA8CE"/>
    <w:rsid w:val="6D56036D"/>
    <w:rsid w:val="6D5759BE"/>
    <w:rsid w:val="6D7F90EB"/>
    <w:rsid w:val="6D8E473F"/>
    <w:rsid w:val="6DE72866"/>
    <w:rsid w:val="6E952D69"/>
    <w:rsid w:val="6EB81073"/>
    <w:rsid w:val="6F1D6466"/>
    <w:rsid w:val="6F5E1A31"/>
    <w:rsid w:val="6FEFBBA5"/>
    <w:rsid w:val="6FF5B5F8"/>
    <w:rsid w:val="6FF6C0A7"/>
    <w:rsid w:val="6FF85BA1"/>
    <w:rsid w:val="6FFB1096"/>
    <w:rsid w:val="6FFCB597"/>
    <w:rsid w:val="70ED7AD2"/>
    <w:rsid w:val="711A37E7"/>
    <w:rsid w:val="71F71F11"/>
    <w:rsid w:val="72F52C2E"/>
    <w:rsid w:val="732C50EB"/>
    <w:rsid w:val="743A3241"/>
    <w:rsid w:val="74F7E4DF"/>
    <w:rsid w:val="75E3565B"/>
    <w:rsid w:val="75F74435"/>
    <w:rsid w:val="764C7598"/>
    <w:rsid w:val="76E7585D"/>
    <w:rsid w:val="777661DF"/>
    <w:rsid w:val="77FF4651"/>
    <w:rsid w:val="78FE2757"/>
    <w:rsid w:val="798F40C3"/>
    <w:rsid w:val="79C7685E"/>
    <w:rsid w:val="79F9640D"/>
    <w:rsid w:val="79FF32C8"/>
    <w:rsid w:val="7A7519BB"/>
    <w:rsid w:val="7B555AA2"/>
    <w:rsid w:val="7BBFAF23"/>
    <w:rsid w:val="7BEA7E32"/>
    <w:rsid w:val="7BFB771D"/>
    <w:rsid w:val="7C738C42"/>
    <w:rsid w:val="7CB4142A"/>
    <w:rsid w:val="7CFBF91F"/>
    <w:rsid w:val="7D1D4E50"/>
    <w:rsid w:val="7D5DF2A9"/>
    <w:rsid w:val="7D6B2B23"/>
    <w:rsid w:val="7DBD1194"/>
    <w:rsid w:val="7DDDA4A5"/>
    <w:rsid w:val="7DFF1039"/>
    <w:rsid w:val="7E5213CA"/>
    <w:rsid w:val="7E75562D"/>
    <w:rsid w:val="7ECF231B"/>
    <w:rsid w:val="7EDF459B"/>
    <w:rsid w:val="7EDFE579"/>
    <w:rsid w:val="7EEBBE61"/>
    <w:rsid w:val="7EF3B858"/>
    <w:rsid w:val="7EFDF9DE"/>
    <w:rsid w:val="7F29E915"/>
    <w:rsid w:val="7F2F0889"/>
    <w:rsid w:val="7F3F5CED"/>
    <w:rsid w:val="7F566135"/>
    <w:rsid w:val="7F746500"/>
    <w:rsid w:val="7F910B72"/>
    <w:rsid w:val="7FB7C4FB"/>
    <w:rsid w:val="7FB98D67"/>
    <w:rsid w:val="7FBF1E10"/>
    <w:rsid w:val="7FBF661B"/>
    <w:rsid w:val="7FDF9136"/>
    <w:rsid w:val="7FEE8BB7"/>
    <w:rsid w:val="7FFE17BF"/>
    <w:rsid w:val="7FFF6665"/>
    <w:rsid w:val="7FFF67C0"/>
    <w:rsid w:val="7FFFA35F"/>
    <w:rsid w:val="8B3DDAA6"/>
    <w:rsid w:val="8FF16DA0"/>
    <w:rsid w:val="9FFF88F9"/>
    <w:rsid w:val="A3F646DF"/>
    <w:rsid w:val="A77B6418"/>
    <w:rsid w:val="A77FF7D3"/>
    <w:rsid w:val="ABE5F4AE"/>
    <w:rsid w:val="B7EF4964"/>
    <w:rsid w:val="BDA326DC"/>
    <w:rsid w:val="BF5B0793"/>
    <w:rsid w:val="BF5C6483"/>
    <w:rsid w:val="BFBD98CB"/>
    <w:rsid w:val="BFF7E4CF"/>
    <w:rsid w:val="CD17F184"/>
    <w:rsid w:val="CFFE6D28"/>
    <w:rsid w:val="D7BB2340"/>
    <w:rsid w:val="DBFF0B6C"/>
    <w:rsid w:val="DCF6FF5E"/>
    <w:rsid w:val="DCFC63CB"/>
    <w:rsid w:val="DE764DA4"/>
    <w:rsid w:val="DEE3A1EA"/>
    <w:rsid w:val="DFDD5D01"/>
    <w:rsid w:val="DFDEDF4A"/>
    <w:rsid w:val="E2ED55E3"/>
    <w:rsid w:val="E64F29B3"/>
    <w:rsid w:val="E677692C"/>
    <w:rsid w:val="E7D34AE4"/>
    <w:rsid w:val="E9FB4E11"/>
    <w:rsid w:val="EF75B8CF"/>
    <w:rsid w:val="EFBC8F14"/>
    <w:rsid w:val="EFFF7782"/>
    <w:rsid w:val="EFFFA773"/>
    <w:rsid w:val="F35FBC58"/>
    <w:rsid w:val="F3E7C857"/>
    <w:rsid w:val="F57E4C2E"/>
    <w:rsid w:val="F61A0787"/>
    <w:rsid w:val="F79FE553"/>
    <w:rsid w:val="F7EBF8EA"/>
    <w:rsid w:val="F7EFF9F4"/>
    <w:rsid w:val="F7FE0BF3"/>
    <w:rsid w:val="F97C997A"/>
    <w:rsid w:val="F97F764A"/>
    <w:rsid w:val="F9FBC29A"/>
    <w:rsid w:val="FA1DA621"/>
    <w:rsid w:val="FA7F33B4"/>
    <w:rsid w:val="FBDA220F"/>
    <w:rsid w:val="FBEB72C3"/>
    <w:rsid w:val="FBF98204"/>
    <w:rsid w:val="FC6F0BBE"/>
    <w:rsid w:val="FC9E4D83"/>
    <w:rsid w:val="FCFEF3FE"/>
    <w:rsid w:val="FD7F9263"/>
    <w:rsid w:val="FDEB7C1D"/>
    <w:rsid w:val="FEA7D4A7"/>
    <w:rsid w:val="FEB1EBA3"/>
    <w:rsid w:val="FEDE88B5"/>
    <w:rsid w:val="FEFB4E02"/>
    <w:rsid w:val="FEFDD8AC"/>
    <w:rsid w:val="FEFF7716"/>
    <w:rsid w:val="FF17070E"/>
    <w:rsid w:val="FF4E0C44"/>
    <w:rsid w:val="FF7928C4"/>
    <w:rsid w:val="FF7B3EE4"/>
    <w:rsid w:val="FF7BA5F9"/>
    <w:rsid w:val="FFB74F0C"/>
    <w:rsid w:val="FFBC0623"/>
    <w:rsid w:val="FFBFFFD9"/>
    <w:rsid w:val="FFCDD2A0"/>
    <w:rsid w:val="FFDD06FF"/>
    <w:rsid w:val="FFE7B692"/>
    <w:rsid w:val="FFEF4134"/>
    <w:rsid w:val="FFF74404"/>
    <w:rsid w:val="FFFD87BB"/>
    <w:rsid w:val="FFFF641D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0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2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7">
    <w:name w:val="Table Grid"/>
    <w:basedOn w:val="6"/>
    <w:qFormat/>
    <w:uiPriority w:val="0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paragraph" w:customStyle="1" w:styleId="9">
    <w:name w:val="列表段落1"/>
    <w:basedOn w:val="1"/>
    <w:qFormat/>
    <w:uiPriority w:val="34"/>
    <w:pPr>
      <w:ind w:firstLine="420" w:firstLineChars="200"/>
    </w:pPr>
  </w:style>
  <w:style w:type="paragraph" w:customStyle="1" w:styleId="10">
    <w:name w:val="Char1 Char Char Char"/>
    <w:basedOn w:val="1"/>
    <w:qFormat/>
    <w:uiPriority w:val="0"/>
    <w:rPr>
      <w:rFonts w:ascii="Tahoma" w:hAnsi="Tahoma" w:eastAsia="宋体" w:cs="Times New Roman"/>
      <w:sz w:val="24"/>
      <w:szCs w:val="20"/>
    </w:rPr>
  </w:style>
  <w:style w:type="character" w:customStyle="1" w:styleId="11">
    <w:name w:val="批注框文本 字符"/>
    <w:basedOn w:val="8"/>
    <w:link w:val="2"/>
    <w:semiHidden/>
    <w:qFormat/>
    <w:uiPriority w:val="99"/>
    <w:rPr>
      <w:sz w:val="18"/>
      <w:szCs w:val="18"/>
    </w:rPr>
  </w:style>
  <w:style w:type="character" w:customStyle="1" w:styleId="12">
    <w:name w:val="页眉 字符"/>
    <w:basedOn w:val="8"/>
    <w:link w:val="4"/>
    <w:qFormat/>
    <w:uiPriority w:val="99"/>
    <w:rPr>
      <w:sz w:val="18"/>
      <w:szCs w:val="18"/>
    </w:rPr>
  </w:style>
  <w:style w:type="character" w:customStyle="1" w:styleId="13">
    <w:name w:val="页脚 字符"/>
    <w:basedOn w:val="8"/>
    <w:link w:val="3"/>
    <w:qFormat/>
    <w:uiPriority w:val="99"/>
    <w:rPr>
      <w:sz w:val="18"/>
      <w:szCs w:val="18"/>
    </w:rPr>
  </w:style>
  <w:style w:type="paragraph" w:customStyle="1" w:styleId="14">
    <w:name w:val="Char Char1"/>
    <w:basedOn w:val="1"/>
    <w:qFormat/>
    <w:uiPriority w:val="0"/>
    <w:pPr>
      <w:spacing w:line="360" w:lineRule="auto"/>
      <w:ind w:firstLine="200" w:firstLineChars="200"/>
    </w:pPr>
    <w:rPr>
      <w:rFonts w:ascii="宋体" w:hAnsi="宋体" w:eastAsia="宋体" w:cs="宋体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4150</Words>
  <Characters>4376</Characters>
  <Lines>20</Lines>
  <Paragraphs>5</Paragraphs>
  <TotalTime>6</TotalTime>
  <ScaleCrop>false</ScaleCrop>
  <LinksUpToDate>false</LinksUpToDate>
  <CharactersWithSpaces>4918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2016-09-11T17:15:00Z</dcterms:created>
  <dc:creator>曾群安</dc:creator>
  <cp:lastModifiedBy>yms</cp:lastModifiedBy>
  <cp:lastPrinted>2013-01-04T04:04:00Z</cp:lastPrinted>
  <dcterms:modified xsi:type="dcterms:W3CDTF">2023-06-30T07:18:01Z</dcterms:modified>
  <dc:title>2023年上海市伏休期间海蜇、桁杆拖虾专项限额</dc:title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28012202C5A6413CAE081AFB48F0938E</vt:lpwstr>
  </property>
</Properties>
</file>