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467DABD">
      <w:pPr>
        <w:rPr>
          <w:rFonts w:ascii="宋体" w:hAnsi="宋体"/>
          <w:color w:val="008000"/>
          <w:sz w:val="24"/>
        </w:rPr>
      </w:pPr>
      <w:r>
        <w:rPr>
          <w:rFonts w:hint="eastAsia" w:ascii="宋体" w:hAnsi="宋体"/>
          <w:color w:val="008000"/>
          <w:sz w:val="24"/>
        </w:rPr>
        <w:t>提案内容：</w:t>
      </w:r>
    </w:p>
    <w:p w14:paraId="70D75B7A">
      <w:pPr>
        <w:jc w:val="center"/>
        <w:rPr>
          <w:rFonts w:ascii="黑体" w:hAnsi="黑体" w:eastAsia="黑体"/>
          <w:b/>
          <w:sz w:val="44"/>
          <w:szCs w:val="44"/>
        </w:rPr>
      </w:pPr>
      <w:bookmarkStart w:id="0" w:name="casetitle2"/>
      <w:r>
        <w:rPr>
          <w:rFonts w:ascii="黑体" w:hAnsi="黑体" w:eastAsia="黑体"/>
          <w:b/>
          <w:sz w:val="44"/>
          <w:szCs w:val="44"/>
        </w:rPr>
        <w:t>关于加强本市村镇历史人文资源高水平开发利用的提案</w:t>
      </w:r>
      <w:bookmarkEnd w:id="0"/>
    </w:p>
    <w:p w14:paraId="680169BC">
      <w:pPr>
        <w:jc w:val="center"/>
        <w:rPr>
          <w:rFonts w:ascii="黑体" w:hAnsi="黑体" w:eastAsia="黑体"/>
          <w:sz w:val="44"/>
          <w:szCs w:val="44"/>
        </w:rPr>
      </w:pPr>
    </w:p>
    <w:p w14:paraId="73A28000">
      <w:pPr>
        <w:rPr>
          <w:rFonts w:ascii="黑体" w:hAnsi="黑体" w:eastAsia="黑体"/>
          <w:b/>
          <w:color w:val="008000"/>
          <w:sz w:val="36"/>
          <w:szCs w:val="36"/>
        </w:rPr>
      </w:pPr>
    </w:p>
    <w:p w14:paraId="4201B53C">
      <w:pPr>
        <w:pStyle w:val="11"/>
        <w:spacing w:after="200" w:line="276" w:lineRule="auto"/>
        <w:rPr>
          <w:rStyle w:val="7"/>
          <w:rFonts w:ascii="Times New Roman" w:hAnsi="Times New Roman" w:eastAsia="Times New Roman" w:cs="Times New Roman"/>
          <w:sz w:val="22"/>
          <w:szCs w:val="22"/>
          <w:lang w:val="ru-RU" w:eastAsia="en-US" w:bidi="ar-SA"/>
        </w:rPr>
      </w:pPr>
      <w:r>
        <w:rPr>
          <w:rStyle w:val="7"/>
          <w:rFonts w:ascii="宋体" w:hAnsi="宋体" w:eastAsia="宋体" w:cs="宋体"/>
          <w:b/>
          <w:color w:val="008000"/>
          <w:sz w:val="36"/>
          <w:szCs w:val="22"/>
          <w:lang w:val="ru-RU" w:eastAsia="en-US" w:bidi="ar-SA"/>
        </w:rPr>
        <w:t>※背景情况※</w:t>
      </w:r>
    </w:p>
    <w:p w14:paraId="042DC1BF">
      <w:pPr>
        <w:pStyle w:val="11"/>
        <w:spacing w:after="200" w:line="276" w:lineRule="auto"/>
        <w:rPr>
          <w:rStyle w:val="7"/>
          <w:rFonts w:ascii="Times New Roman" w:hAnsi="Times New Roman" w:eastAsia="Times New Roman" w:cs="Times New Roman"/>
          <w:sz w:val="22"/>
          <w:szCs w:val="22"/>
          <w:lang w:val="ru-RU" w:eastAsia="en-US" w:bidi="ar-SA"/>
        </w:rPr>
      </w:pPr>
      <w:r>
        <w:rPr>
          <w:rStyle w:val="7"/>
          <w:rFonts w:ascii="仿宋_GB2312" w:hAnsi="仿宋_GB2312" w:eastAsia="仿宋_GB2312" w:cs="仿宋_GB2312"/>
          <w:sz w:val="30"/>
          <w:szCs w:val="22"/>
          <w:lang w:val="ru-RU" w:eastAsia="en-US" w:bidi="ar-SA"/>
        </w:rPr>
        <w:t xml:space="preserve">    习近平文化思想的提出，为我国宜居宜业宜游</w:t>
      </w:r>
      <w:bookmarkStart w:id="1" w:name="_GoBack"/>
      <w:bookmarkEnd w:id="1"/>
      <w:r>
        <w:rPr>
          <w:rStyle w:val="7"/>
          <w:rFonts w:ascii="仿宋_GB2312" w:hAnsi="仿宋_GB2312" w:eastAsia="仿宋_GB2312" w:cs="仿宋_GB2312"/>
          <w:sz w:val="30"/>
          <w:szCs w:val="22"/>
          <w:lang w:val="ru-RU" w:eastAsia="en-US" w:bidi="ar-SA"/>
        </w:rPr>
        <w:t>和美乡村建设提供了科学行动指南。习近平总书记指出，要深入挖掘、继承、创新优秀传统乡土文化，把保护传承和开发利用有机结合起来，把我国农耕文明优秀遗产和现代文明要素结合起来，赋予新的时代内涵。</w:t>
      </w:r>
    </w:p>
    <w:p w14:paraId="14F129E6">
      <w:pPr>
        <w:pStyle w:val="11"/>
        <w:spacing w:after="200" w:line="276" w:lineRule="auto"/>
        <w:rPr>
          <w:rStyle w:val="7"/>
          <w:rFonts w:ascii="Times New Roman" w:hAnsi="Times New Roman" w:eastAsia="Times New Roman" w:cs="Times New Roman"/>
          <w:sz w:val="22"/>
          <w:szCs w:val="22"/>
          <w:lang w:val="ru-RU" w:eastAsia="en-US" w:bidi="ar-SA"/>
        </w:rPr>
      </w:pPr>
      <w:r>
        <w:rPr>
          <w:rStyle w:val="7"/>
          <w:rFonts w:ascii="仿宋_GB2312" w:hAnsi="仿宋_GB2312" w:eastAsia="仿宋_GB2312" w:cs="仿宋_GB2312"/>
          <w:sz w:val="30"/>
          <w:szCs w:val="22"/>
          <w:lang w:val="ru-RU" w:eastAsia="en-US" w:bidi="ar-SA"/>
        </w:rPr>
        <w:t xml:space="preserve">    村镇历史人文资源是一个地区的文化根脉，具有无可替代的历史、文化和精神价值。上海要以习近平文化思想为指导，深入挖掘传承、开发利用村镇历史人文资源，对其实现创造性转化和创新性发展，培育农文旅领域乡村振兴新质生产力，增强乡村振兴的价值引导力、产业振兴力、文化凝聚力和精神推动力。</w:t>
      </w:r>
    </w:p>
    <w:p w14:paraId="1A76FCFE">
      <w:pPr>
        <w:pStyle w:val="11"/>
        <w:spacing w:after="200" w:line="276" w:lineRule="auto"/>
        <w:rPr>
          <w:rStyle w:val="7"/>
          <w:rFonts w:ascii="Times New Roman" w:hAnsi="Times New Roman" w:eastAsia="Times New Roman" w:cs="Times New Roman"/>
          <w:sz w:val="22"/>
          <w:szCs w:val="22"/>
          <w:lang w:val="ru-RU" w:eastAsia="en-US" w:bidi="ar-SA"/>
        </w:rPr>
      </w:pPr>
    </w:p>
    <w:p w14:paraId="3A2F78F5">
      <w:pPr>
        <w:pStyle w:val="11"/>
        <w:spacing w:after="200" w:line="276" w:lineRule="auto"/>
        <w:rPr>
          <w:rStyle w:val="7"/>
          <w:rFonts w:ascii="Times New Roman" w:hAnsi="Times New Roman" w:eastAsia="Times New Roman" w:cs="Times New Roman"/>
          <w:sz w:val="22"/>
          <w:szCs w:val="22"/>
          <w:lang w:val="ru-RU" w:eastAsia="en-US" w:bidi="ar-SA"/>
        </w:rPr>
      </w:pPr>
    </w:p>
    <w:p w14:paraId="5BDC976A">
      <w:pPr>
        <w:pStyle w:val="11"/>
        <w:spacing w:after="200" w:line="276" w:lineRule="auto"/>
        <w:rPr>
          <w:rStyle w:val="7"/>
          <w:rFonts w:ascii="Times New Roman" w:hAnsi="Times New Roman" w:eastAsia="Times New Roman" w:cs="Times New Roman"/>
          <w:sz w:val="22"/>
          <w:szCs w:val="22"/>
          <w:lang w:val="ru-RU" w:eastAsia="en-US" w:bidi="ar-SA"/>
        </w:rPr>
      </w:pPr>
      <w:r>
        <w:rPr>
          <w:rStyle w:val="7"/>
          <w:rFonts w:ascii="Times New Roman" w:hAnsi="Times New Roman" w:eastAsia="Times New Roman" w:cs="Times New Roman"/>
          <w:b/>
          <w:color w:val="008000"/>
          <w:sz w:val="36"/>
          <w:szCs w:val="22"/>
          <w:lang w:val="ru-RU" w:eastAsia="en-US" w:bidi="ar-SA"/>
        </w:rPr>
        <w:t> </w:t>
      </w:r>
    </w:p>
    <w:p w14:paraId="1492E84D">
      <w:pPr>
        <w:pStyle w:val="11"/>
        <w:spacing w:after="200" w:line="276" w:lineRule="auto"/>
        <w:rPr>
          <w:rStyle w:val="7"/>
          <w:rFonts w:ascii="Times New Roman" w:hAnsi="Times New Roman" w:eastAsia="Times New Roman" w:cs="Times New Roman"/>
          <w:sz w:val="22"/>
          <w:szCs w:val="22"/>
          <w:lang w:val="ru-RU" w:eastAsia="en-US" w:bidi="ar-SA"/>
        </w:rPr>
      </w:pPr>
      <w:r>
        <w:rPr>
          <w:rStyle w:val="7"/>
          <w:rFonts w:ascii="宋体" w:hAnsi="宋体" w:eastAsia="宋体" w:cs="宋体"/>
          <w:b/>
          <w:color w:val="008000"/>
          <w:sz w:val="36"/>
          <w:szCs w:val="22"/>
          <w:lang w:val="ru-RU" w:eastAsia="en-US" w:bidi="ar-SA"/>
        </w:rPr>
        <w:t>――――――――――――――――――――――</w:t>
      </w:r>
    </w:p>
    <w:p w14:paraId="7A36947C">
      <w:pPr>
        <w:pStyle w:val="11"/>
        <w:spacing w:after="200" w:line="276" w:lineRule="auto"/>
        <w:rPr>
          <w:rStyle w:val="7"/>
          <w:rFonts w:ascii="Times New Roman" w:hAnsi="Times New Roman" w:eastAsia="Times New Roman" w:cs="Times New Roman"/>
          <w:sz w:val="22"/>
          <w:szCs w:val="22"/>
          <w:lang w:val="ru-RU" w:eastAsia="en-US" w:bidi="ar-SA"/>
        </w:rPr>
      </w:pPr>
      <w:r>
        <w:rPr>
          <w:rStyle w:val="7"/>
          <w:rFonts w:ascii="宋体" w:hAnsi="宋体" w:eastAsia="宋体" w:cs="宋体"/>
          <w:b/>
          <w:color w:val="008000"/>
          <w:sz w:val="36"/>
          <w:szCs w:val="22"/>
          <w:lang w:val="ru-RU" w:eastAsia="en-US" w:bidi="ar-SA"/>
        </w:rPr>
        <w:t>※问题及分析※</w:t>
      </w:r>
    </w:p>
    <w:p w14:paraId="21D97561">
      <w:pPr>
        <w:pStyle w:val="11"/>
        <w:spacing w:after="200" w:line="276" w:lineRule="auto"/>
        <w:rPr>
          <w:rStyle w:val="7"/>
          <w:rFonts w:ascii="Times New Roman" w:hAnsi="Times New Roman" w:eastAsia="Times New Roman" w:cs="Times New Roman"/>
          <w:sz w:val="22"/>
          <w:szCs w:val="22"/>
          <w:lang w:val="ru-RU" w:eastAsia="en-US" w:bidi="ar-SA"/>
        </w:rPr>
      </w:pPr>
    </w:p>
    <w:p w14:paraId="6F6B0DC2">
      <w:pPr>
        <w:pStyle w:val="11"/>
        <w:spacing w:after="200" w:line="276" w:lineRule="auto"/>
        <w:rPr>
          <w:rStyle w:val="7"/>
          <w:rFonts w:ascii="Times New Roman" w:hAnsi="Times New Roman" w:eastAsia="Times New Roman" w:cs="Times New Roman"/>
          <w:sz w:val="22"/>
          <w:szCs w:val="22"/>
          <w:lang w:val="ru-RU" w:eastAsia="en-US" w:bidi="ar-SA"/>
        </w:rPr>
      </w:pPr>
      <w:r>
        <w:rPr>
          <w:rStyle w:val="7"/>
          <w:rFonts w:ascii="仿宋_GB2312" w:hAnsi="仿宋_GB2312" w:eastAsia="仿宋_GB2312" w:cs="仿宋_GB2312"/>
          <w:sz w:val="30"/>
          <w:szCs w:val="22"/>
          <w:lang w:val="ru-RU" w:eastAsia="en-US" w:bidi="ar-SA"/>
        </w:rPr>
        <w:t xml:space="preserve">    通过对金山枫泾镇和5个村、奉贤青村镇和3个村文化主管部门、村委书记和村民代表的集中调研，我们发现两镇对历史人文资源的挖掘保护有思路、有举措也有成效。但这项工作当前还存在三个问题：</w:t>
      </w:r>
    </w:p>
    <w:p w14:paraId="628709E6">
      <w:pPr>
        <w:pStyle w:val="11"/>
        <w:spacing w:after="200" w:line="276" w:lineRule="auto"/>
        <w:rPr>
          <w:rStyle w:val="7"/>
          <w:rFonts w:ascii="Times New Roman" w:hAnsi="Times New Roman" w:eastAsia="Times New Roman" w:cs="Times New Roman"/>
          <w:sz w:val="22"/>
          <w:szCs w:val="22"/>
          <w:lang w:val="ru-RU" w:eastAsia="en-US" w:bidi="ar-SA"/>
        </w:rPr>
      </w:pPr>
      <w:r>
        <w:rPr>
          <w:rStyle w:val="7"/>
          <w:rFonts w:ascii="仿宋_GB2312" w:hAnsi="仿宋_GB2312" w:eastAsia="仿宋_GB2312" w:cs="仿宋_GB2312"/>
          <w:b/>
          <w:sz w:val="30"/>
          <w:szCs w:val="22"/>
          <w:lang w:val="ru-RU" w:eastAsia="en-US" w:bidi="ar-SA"/>
        </w:rPr>
        <w:t xml:space="preserve">    （一）村镇历史人文资源开发利用的顶层设计、机制建设不足。缺乏市级层面的规划指导和实施方案，各自为战，未能形成高效指导和工作推进体系。</w:t>
      </w:r>
    </w:p>
    <w:p w14:paraId="491E75C3">
      <w:pPr>
        <w:pStyle w:val="11"/>
        <w:spacing w:after="200" w:line="276" w:lineRule="auto"/>
        <w:rPr>
          <w:rStyle w:val="7"/>
          <w:rFonts w:ascii="Times New Roman" w:hAnsi="Times New Roman" w:eastAsia="Times New Roman" w:cs="Times New Roman"/>
          <w:sz w:val="22"/>
          <w:szCs w:val="22"/>
          <w:lang w:val="ru-RU" w:eastAsia="en-US" w:bidi="ar-SA"/>
        </w:rPr>
      </w:pPr>
      <w:r>
        <w:rPr>
          <w:rStyle w:val="7"/>
          <w:rFonts w:ascii="仿宋_GB2312" w:hAnsi="仿宋_GB2312" w:eastAsia="仿宋_GB2312" w:cs="仿宋_GB2312"/>
          <w:b/>
          <w:sz w:val="30"/>
          <w:szCs w:val="22"/>
          <w:lang w:val="ru-RU" w:eastAsia="en-US" w:bidi="ar-SA"/>
        </w:rPr>
        <w:t xml:space="preserve">    （二）村镇历史人文资源的多元价值未得到充分挖掘与实现。大部分农文旅项目同质化严重，对乡村旅游的引流不强，对农民拓展收入来源、提升收入水平的覆盖面不高。</w:t>
      </w:r>
    </w:p>
    <w:p w14:paraId="28C1EF66">
      <w:pPr>
        <w:pStyle w:val="11"/>
        <w:spacing w:after="200" w:line="276" w:lineRule="auto"/>
        <w:rPr>
          <w:rStyle w:val="7"/>
          <w:rFonts w:ascii="Times New Roman" w:hAnsi="Times New Roman" w:eastAsia="Times New Roman" w:cs="Times New Roman"/>
          <w:sz w:val="22"/>
          <w:szCs w:val="22"/>
          <w:lang w:val="ru-RU" w:eastAsia="en-US" w:bidi="ar-SA"/>
        </w:rPr>
      </w:pPr>
      <w:r>
        <w:rPr>
          <w:rStyle w:val="7"/>
          <w:rFonts w:ascii="仿宋_GB2312" w:hAnsi="仿宋_GB2312" w:eastAsia="仿宋_GB2312" w:cs="仿宋_GB2312"/>
          <w:b/>
          <w:sz w:val="30"/>
          <w:szCs w:val="22"/>
          <w:lang w:val="ru-RU" w:eastAsia="en-US" w:bidi="ar-SA"/>
        </w:rPr>
        <w:t>    （三）村镇文化建设与发展的农民群众主体缺位、各类人才后继乏力。文化建设人才匮乏，文化传承载体缺失。农村居民尤其是年轻一代对乡村文化的认同感、归属感、自豪感不强，传统文化、乡村文化边缘化。</w:t>
      </w:r>
    </w:p>
    <w:p w14:paraId="1248CC5C">
      <w:pPr>
        <w:pStyle w:val="11"/>
        <w:spacing w:after="200" w:line="276" w:lineRule="auto"/>
        <w:rPr>
          <w:rStyle w:val="7"/>
          <w:rFonts w:ascii="Times New Roman" w:hAnsi="Times New Roman" w:eastAsia="Times New Roman" w:cs="Times New Roman"/>
          <w:sz w:val="22"/>
          <w:szCs w:val="22"/>
          <w:lang w:val="ru-RU" w:eastAsia="en-US" w:bidi="ar-SA"/>
        </w:rPr>
      </w:pPr>
    </w:p>
    <w:p w14:paraId="1AB971BB">
      <w:pPr>
        <w:pStyle w:val="11"/>
        <w:spacing w:after="200" w:line="276" w:lineRule="auto"/>
        <w:rPr>
          <w:rStyle w:val="7"/>
          <w:rFonts w:ascii="Times New Roman" w:hAnsi="Times New Roman" w:eastAsia="Times New Roman" w:cs="Times New Roman"/>
          <w:sz w:val="22"/>
          <w:szCs w:val="22"/>
          <w:lang w:val="ru-RU" w:eastAsia="en-US" w:bidi="ar-SA"/>
        </w:rPr>
      </w:pPr>
      <w:r>
        <w:rPr>
          <w:rStyle w:val="7"/>
          <w:rFonts w:ascii="Times New Roman" w:hAnsi="Times New Roman" w:eastAsia="Times New Roman" w:cs="Times New Roman"/>
          <w:b/>
          <w:color w:val="008000"/>
          <w:sz w:val="36"/>
          <w:szCs w:val="22"/>
          <w:lang w:val="ru-RU" w:eastAsia="en-US" w:bidi="ar-SA"/>
        </w:rPr>
        <w:t> </w:t>
      </w:r>
    </w:p>
    <w:p w14:paraId="53D3DD6D">
      <w:pPr>
        <w:pStyle w:val="11"/>
        <w:spacing w:after="200" w:line="276" w:lineRule="auto"/>
        <w:rPr>
          <w:rStyle w:val="7"/>
          <w:rFonts w:ascii="Times New Roman" w:hAnsi="Times New Roman" w:eastAsia="Times New Roman" w:cs="Times New Roman"/>
          <w:sz w:val="22"/>
          <w:szCs w:val="22"/>
          <w:lang w:val="ru-RU" w:eastAsia="en-US" w:bidi="ar-SA"/>
        </w:rPr>
      </w:pPr>
      <w:r>
        <w:rPr>
          <w:rStyle w:val="7"/>
          <w:rFonts w:ascii="宋体" w:hAnsi="宋体" w:eastAsia="宋体" w:cs="宋体"/>
          <w:b/>
          <w:color w:val="008000"/>
          <w:sz w:val="36"/>
          <w:szCs w:val="22"/>
          <w:lang w:val="ru-RU" w:eastAsia="en-US" w:bidi="ar-SA"/>
        </w:rPr>
        <w:t>――――――――――――――――――――――</w:t>
      </w:r>
    </w:p>
    <w:p w14:paraId="14E449DB">
      <w:pPr>
        <w:pStyle w:val="11"/>
        <w:spacing w:after="200" w:line="276" w:lineRule="auto"/>
        <w:rPr>
          <w:rStyle w:val="7"/>
          <w:rFonts w:ascii="Times New Roman" w:hAnsi="Times New Roman" w:eastAsia="Times New Roman" w:cs="Times New Roman"/>
          <w:sz w:val="22"/>
          <w:szCs w:val="22"/>
          <w:lang w:val="ru-RU" w:eastAsia="en-US" w:bidi="ar-SA"/>
        </w:rPr>
      </w:pPr>
      <w:r>
        <w:rPr>
          <w:rStyle w:val="7"/>
          <w:rFonts w:ascii="宋体" w:hAnsi="宋体" w:eastAsia="宋体" w:cs="宋体"/>
          <w:b/>
          <w:color w:val="008000"/>
          <w:sz w:val="36"/>
          <w:szCs w:val="22"/>
          <w:lang w:val="ru-RU" w:eastAsia="en-US" w:bidi="ar-SA"/>
        </w:rPr>
        <w:t>※建议※</w:t>
      </w:r>
    </w:p>
    <w:p w14:paraId="6026D688">
      <w:pPr>
        <w:pStyle w:val="11"/>
        <w:spacing w:after="200" w:line="276" w:lineRule="auto"/>
        <w:rPr>
          <w:rStyle w:val="7"/>
          <w:rFonts w:ascii="Times New Roman" w:hAnsi="Times New Roman" w:eastAsia="Times New Roman" w:cs="Times New Roman"/>
          <w:sz w:val="22"/>
          <w:szCs w:val="22"/>
          <w:lang w:val="ru-RU" w:eastAsia="en-US" w:bidi="ar-SA"/>
        </w:rPr>
      </w:pPr>
    </w:p>
    <w:p w14:paraId="60D8787E">
      <w:pPr>
        <w:pStyle w:val="11"/>
        <w:spacing w:after="200" w:line="276" w:lineRule="auto"/>
        <w:rPr>
          <w:rStyle w:val="7"/>
          <w:rFonts w:ascii="Times New Roman" w:hAnsi="Times New Roman" w:eastAsia="Times New Roman" w:cs="Times New Roman"/>
          <w:sz w:val="22"/>
          <w:szCs w:val="22"/>
          <w:lang w:val="ru-RU" w:eastAsia="en-US" w:bidi="ar-SA"/>
        </w:rPr>
      </w:pPr>
      <w:r>
        <w:rPr>
          <w:rStyle w:val="7"/>
          <w:rFonts w:ascii="仿宋_GB2312" w:hAnsi="仿宋_GB2312" w:eastAsia="仿宋_GB2312" w:cs="仿宋_GB2312"/>
          <w:b/>
          <w:sz w:val="30"/>
          <w:szCs w:val="22"/>
          <w:lang w:val="ru-RU" w:eastAsia="en-US" w:bidi="ar-SA"/>
        </w:rPr>
        <w:t xml:space="preserve">    （一）建立健全村镇历史人文资源开发利用的体制机制。一是系统谋划本市村镇历史人文资源的保护传承与开发利用。在市级层面出台总体规划及实施方案，建立健全文旅部门牵头、其他部门协同推进的工作机制。研究出台村镇历史人文资源保护与利用相关规章制度，让基层开展工作有章可循、有据可依。二是构建政府主导、社会各界参与的机制，从用地政策、文化项目建设等方面加以支持。对村镇历史人文资源保护开发逐级设立专项扶持资金或保护发展基金。三是以城乡统筹可持续发展为出发点，借鉴华为练秋湖研发中心导入人才人口典型案例，引导优质产业、代表性企业、科研院所、高校等转移乡村地区。</w:t>
      </w:r>
    </w:p>
    <w:p w14:paraId="65B2557D">
      <w:pPr>
        <w:pStyle w:val="11"/>
        <w:spacing w:after="200" w:line="276" w:lineRule="auto"/>
        <w:rPr>
          <w:rStyle w:val="7"/>
          <w:rFonts w:ascii="Times New Roman" w:hAnsi="Times New Roman" w:eastAsia="Times New Roman" w:cs="Times New Roman"/>
          <w:sz w:val="22"/>
          <w:szCs w:val="22"/>
          <w:lang w:val="ru-RU" w:eastAsia="en-US" w:bidi="ar-SA"/>
        </w:rPr>
      </w:pPr>
      <w:r>
        <w:rPr>
          <w:rStyle w:val="7"/>
          <w:rFonts w:ascii="仿宋_GB2312" w:hAnsi="仿宋_GB2312" w:eastAsia="仿宋_GB2312" w:cs="仿宋_GB2312"/>
          <w:b/>
          <w:sz w:val="30"/>
          <w:szCs w:val="22"/>
          <w:lang w:val="ru-RU" w:eastAsia="en-US" w:bidi="ar-SA"/>
        </w:rPr>
        <w:t xml:space="preserve">    （二）加强对村镇历史人文资源的挖掘与研究。一是继续深入挖掘。结合第四次全国文物普查，对本市村镇历史人文资源系统梳理，摸清家底。利用数字化、互联网技术，建立非物质文化遗产数据库和信息共享平台，强化保护和传承。二是加强针对性研究，着力探寻文化产业赋能乡村振兴的方法路径。</w:t>
      </w:r>
    </w:p>
    <w:p w14:paraId="4BE0E20F">
      <w:pPr>
        <w:pStyle w:val="11"/>
        <w:spacing w:after="200" w:line="276" w:lineRule="auto"/>
        <w:rPr>
          <w:rStyle w:val="7"/>
          <w:rFonts w:ascii="Times New Roman" w:hAnsi="Times New Roman" w:eastAsia="Times New Roman" w:cs="Times New Roman"/>
          <w:sz w:val="22"/>
          <w:szCs w:val="22"/>
          <w:lang w:val="ru-RU" w:eastAsia="en-US" w:bidi="ar-SA"/>
        </w:rPr>
      </w:pPr>
      <w:r>
        <w:rPr>
          <w:rStyle w:val="7"/>
          <w:rFonts w:ascii="仿宋_GB2312" w:hAnsi="仿宋_GB2312" w:eastAsia="仿宋_GB2312" w:cs="仿宋_GB2312"/>
          <w:b/>
          <w:sz w:val="30"/>
          <w:szCs w:val="22"/>
          <w:lang w:val="ru-RU" w:eastAsia="en-US" w:bidi="ar-SA"/>
        </w:rPr>
        <w:t xml:space="preserve">    （三）促进村镇历史人文资源赋能乡村产业高质量发展。一是将历史人文资源打造成有吸引力和影响力的文旅资源，促成“农业+文化+旅游”的产业联动、融合发展，激发乡村发展的经济活力。二是通过村镇历史人文资源的开发利用，以品牌故事和文化内涵提升地产农产品市场竞争力。三是增强村镇历史人文资源的文化载体作用，增强乡村的吸引力和竞争力，将城市居民引入乡村开展旅游、休闲、教育等活动。</w:t>
      </w:r>
    </w:p>
    <w:p w14:paraId="6E4E48F6">
      <w:pPr>
        <w:pStyle w:val="11"/>
        <w:spacing w:after="200" w:line="276" w:lineRule="auto"/>
        <w:rPr>
          <w:rStyle w:val="7"/>
          <w:rFonts w:ascii="Times New Roman" w:hAnsi="Times New Roman" w:eastAsia="Times New Roman" w:cs="Times New Roman"/>
          <w:sz w:val="22"/>
          <w:szCs w:val="22"/>
          <w:lang w:val="ru-RU" w:eastAsia="en-US" w:bidi="ar-SA"/>
        </w:rPr>
      </w:pPr>
      <w:r>
        <w:rPr>
          <w:rStyle w:val="7"/>
          <w:rFonts w:ascii="仿宋_GB2312" w:hAnsi="仿宋_GB2312" w:eastAsia="仿宋_GB2312" w:cs="仿宋_GB2312"/>
          <w:b/>
          <w:sz w:val="30"/>
          <w:szCs w:val="22"/>
          <w:lang w:val="ru-RU" w:eastAsia="en-US" w:bidi="ar-SA"/>
        </w:rPr>
        <w:t xml:space="preserve">    （四）加强乡村文化人才队伍建设。一是健全村委干部、大学生村官、驻村干部、乡村文化工作者、文化能人、非遗传承人等的培养培训机制，在区、镇、村培养一批熟悉和热爱乡村文化的工作者。二是在市级层面探索文化产业赋能乡村振兴“特派员”制度，引导文旅领域专家学者、从业者、文化志愿者等到社区、村委指导支持乡村文化建设与创新发展。</w:t>
      </w:r>
    </w:p>
    <w:p w14:paraId="51416BD0">
      <w:pPr>
        <w:pStyle w:val="11"/>
        <w:spacing w:after="200" w:line="276" w:lineRule="auto"/>
        <w:rPr>
          <w:rStyle w:val="7"/>
          <w:rFonts w:ascii="Times New Roman" w:hAnsi="Times New Roman" w:eastAsia="Times New Roman" w:cs="Times New Roman"/>
          <w:sz w:val="22"/>
          <w:szCs w:val="22"/>
          <w:lang w:val="ru-RU" w:eastAsia="en-US" w:bidi="ar-SA"/>
        </w:rPr>
      </w:pPr>
      <w:r>
        <w:rPr>
          <w:rStyle w:val="7"/>
          <w:rFonts w:ascii="仿宋_GB2312" w:hAnsi="仿宋_GB2312" w:eastAsia="仿宋_GB2312" w:cs="仿宋_GB2312"/>
          <w:b/>
          <w:sz w:val="30"/>
          <w:szCs w:val="22"/>
          <w:lang w:val="ru-RU" w:eastAsia="en-US" w:bidi="ar-SA"/>
        </w:rPr>
        <w:t xml:space="preserve">    （五）加强乡村文化、传统文化的宣传和教育。一是加强对村镇历史人文资源的保护与传承的宣传、教育、培训，强化乡村文化、传统文化在城市的宣传和传播，为乡村振兴“引流”。二是借助数字化等新手段和新型传播渠道，线上线下、传统媒体和新媒体相结合，提高社会对乡村文化、传统文化的知晓度、关注度。</w:t>
      </w: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Webdings">
    <w:panose1 w:val="05030102010509060703"/>
    <w:charset w:val="02"/>
    <w:family w:val="roman"/>
    <w:pitch w:val="default"/>
    <w:sig w:usb0="00000000" w:usb1="00000000" w:usb2="00000000" w:usb3="00000000" w:csb0="80000000"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93CF01">
    <w:pPr>
      <w:pStyle w:val="3"/>
      <w:jc w:val="center"/>
      <w:rPr>
        <w:sz w:val="28"/>
        <w:szCs w:val="28"/>
      </w:rPr>
    </w:pPr>
    <w:r>
      <w:rPr>
        <w:rFonts w:hint="eastAsia"/>
        <w:sz w:val="28"/>
        <w:szCs w:val="28"/>
      </w:rPr>
      <w:t>第</w:t>
    </w:r>
    <w:r>
      <w:rPr>
        <w:b/>
        <w:sz w:val="28"/>
        <w:szCs w:val="28"/>
      </w:rPr>
      <w:fldChar w:fldCharType="begin"/>
    </w:r>
    <w:r>
      <w:rPr>
        <w:b/>
        <w:sz w:val="28"/>
        <w:szCs w:val="28"/>
      </w:rPr>
      <w:instrText xml:space="preserve">PAGE</w:instrText>
    </w:r>
    <w:r>
      <w:rPr>
        <w:b/>
        <w:sz w:val="28"/>
        <w:szCs w:val="28"/>
      </w:rPr>
      <w:fldChar w:fldCharType="separate"/>
    </w:r>
    <w:r>
      <w:rPr>
        <w:b/>
        <w:sz w:val="28"/>
        <w:szCs w:val="28"/>
      </w:rPr>
      <w:t>1</w:t>
    </w:r>
    <w:r>
      <w:rPr>
        <w:b/>
        <w:sz w:val="28"/>
        <w:szCs w:val="28"/>
      </w:rPr>
      <w:fldChar w:fldCharType="end"/>
    </w:r>
    <w:r>
      <w:rPr>
        <w:rFonts w:hint="eastAsia"/>
        <w:b/>
        <w:sz w:val="28"/>
        <w:szCs w:val="28"/>
      </w:rPr>
      <w:t>页</w:t>
    </w:r>
    <w:r>
      <w:rPr>
        <w:sz w:val="28"/>
        <w:szCs w:val="28"/>
        <w:lang w:val="zh-CN"/>
      </w:rPr>
      <w:t xml:space="preserve"> / </w:t>
    </w:r>
    <w:r>
      <w:rPr>
        <w:rFonts w:hint="eastAsia"/>
        <w:sz w:val="28"/>
        <w:szCs w:val="28"/>
        <w:lang w:val="zh-CN"/>
      </w:rPr>
      <w:t>共</w:t>
    </w:r>
    <w:r>
      <w:rPr>
        <w:b/>
        <w:sz w:val="28"/>
        <w:szCs w:val="28"/>
      </w:rPr>
      <w:fldChar w:fldCharType="begin"/>
    </w:r>
    <w:r>
      <w:rPr>
        <w:b/>
        <w:sz w:val="28"/>
        <w:szCs w:val="28"/>
      </w:rPr>
      <w:instrText xml:space="preserve">NUMPAGES</w:instrText>
    </w:r>
    <w:r>
      <w:rPr>
        <w:b/>
        <w:sz w:val="28"/>
        <w:szCs w:val="28"/>
      </w:rPr>
      <w:fldChar w:fldCharType="separate"/>
    </w:r>
    <w:r>
      <w:rPr>
        <w:b/>
        <w:sz w:val="28"/>
        <w:szCs w:val="28"/>
      </w:rPr>
      <w:t>2</w:t>
    </w:r>
    <w:r>
      <w:rPr>
        <w:b/>
        <w:sz w:val="28"/>
        <w:szCs w:val="28"/>
      </w:rPr>
      <w:fldChar w:fldCharType="end"/>
    </w:r>
    <w:r>
      <w:rPr>
        <w:rFonts w:hint="eastAsia"/>
        <w:sz w:val="28"/>
        <w:szCs w:val="28"/>
      </w:rPr>
      <w:t>页</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F2FD74">
    <w:pPr>
      <w:pStyle w:val="4"/>
      <w:pBdr>
        <w:bottom w:val="none" w:color="auto" w:sz="0" w:space="0"/>
      </w:pBdr>
      <w:jc w:val="right"/>
      <w:rPr>
        <w:color w:val="008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NotDisplayPageBoundaries w:val="1"/>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0000"/>
    <w:rsid w:val="0B2801D3"/>
    <w:rsid w:val="3FD73E4E"/>
    <w:rsid w:val="5BDDF63C"/>
    <w:rsid w:val="679F95EB"/>
    <w:rsid w:val="7DDF29D0"/>
    <w:rsid w:val="BBDD8B36"/>
    <w:rsid w:val="BBDF227F"/>
    <w:rsid w:val="BFF2057E"/>
    <w:rsid w:val="FDFA2EAA"/>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nhideWhenUsed="0" w:uiPriority="0" w:semiHidden="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nhideWhenUsed="0" w:uiPriority="0" w:semiHidden="0" w:name="Table Web 2"/>
    <w:lsdException w:unhideWhenUsed="0" w:uiPriority="0" w:semiHidden="0" w:name="Table Web 3"/>
    <w:lsdException w:unhideWhenUsed="0" w:uiPriority="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qFormat/>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Balloon Text"/>
    <w:basedOn w:val="1"/>
    <w:semiHidden/>
    <w:uiPriority w:val="0"/>
    <w:rPr>
      <w:sz w:val="18"/>
      <w:szCs w:val="18"/>
    </w:rPr>
  </w:style>
  <w:style w:type="paragraph" w:styleId="3">
    <w:name w:val="footer"/>
    <w:basedOn w:val="1"/>
    <w:link w:val="9"/>
    <w:uiPriority w:val="99"/>
    <w:pPr>
      <w:tabs>
        <w:tab w:val="center" w:pos="4153"/>
        <w:tab w:val="right" w:pos="8306"/>
      </w:tabs>
      <w:snapToGrid w:val="0"/>
      <w:jc w:val="left"/>
    </w:pPr>
    <w:rPr>
      <w:sz w:val="18"/>
      <w:szCs w:val="18"/>
    </w:rPr>
  </w:style>
  <w:style w:type="paragraph" w:styleId="4">
    <w:name w:val="header"/>
    <w:basedOn w:val="1"/>
    <w:link w:val="8"/>
    <w:qFormat/>
    <w:uiPriority w:val="0"/>
    <w:pPr>
      <w:pBdr>
        <w:bottom w:val="single" w:color="auto" w:sz="6" w:space="1"/>
      </w:pBdr>
      <w:tabs>
        <w:tab w:val="center" w:pos="4153"/>
        <w:tab w:val="right" w:pos="8306"/>
      </w:tabs>
      <w:snapToGrid w:val="0"/>
      <w:jc w:val="center"/>
    </w:pPr>
    <w:rPr>
      <w:sz w:val="18"/>
      <w:szCs w:val="18"/>
    </w:rPr>
  </w:style>
  <w:style w:type="table" w:styleId="6">
    <w:name w:val="Table Grid"/>
    <w:basedOn w:val="5"/>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8">
    <w:name w:val="页眉 字符"/>
    <w:link w:val="4"/>
    <w:qFormat/>
    <w:uiPriority w:val="0"/>
    <w:rPr>
      <w:kern w:val="2"/>
      <w:sz w:val="18"/>
      <w:szCs w:val="18"/>
    </w:rPr>
  </w:style>
  <w:style w:type="character" w:customStyle="1" w:styleId="9">
    <w:name w:val="页脚 字符"/>
    <w:link w:val="3"/>
    <w:qFormat/>
    <w:uiPriority w:val="99"/>
    <w:rPr>
      <w:kern w:val="2"/>
      <w:sz w:val="18"/>
      <w:szCs w:val="18"/>
    </w:rPr>
  </w:style>
  <w:style w:type="paragraph" w:customStyle="1" w:styleId="10">
    <w:name w:val="Normal_0"/>
    <w:qFormat/>
    <w:uiPriority w:val="0"/>
    <w:rPr>
      <w:rFonts w:ascii="Times New Roman" w:hAnsi="Times New Roman" w:eastAsia="Times New Roman" w:cs="Times New Roman"/>
      <w:lang w:val="ru-RU" w:eastAsia="en-US" w:bidi="ar-SA"/>
    </w:rPr>
  </w:style>
  <w:style w:type="paragraph" w:customStyle="1" w:styleId="11">
    <w:name w:val="Normal_1"/>
    <w:qFormat/>
    <w:uiPriority w:val="0"/>
    <w:rPr>
      <w:rFonts w:ascii="Times New Roman" w:hAnsi="Times New Roman" w:eastAsia="Times New Roman" w:cs="Times New Roman"/>
      <w:lang w:val="ru-RU" w:eastAsia="en-US"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B0C535-EE8D-4C9F-BBD9-519E25D7DD99}">
  <ds:schemaRefs/>
</ds:datastoreItem>
</file>

<file path=docProps/app.xml><?xml version="1.0" encoding="utf-8"?>
<Properties xmlns="http://schemas.openxmlformats.org/officeDocument/2006/extended-properties" xmlns:vt="http://schemas.openxmlformats.org/officeDocument/2006/docPropsVTypes">
  <Company>SHZX</Company>
  <Pages>4</Pages>
  <Words>1791</Words>
  <Characters>1835</Characters>
  <Lines>3</Lines>
  <Paragraphs>1</Paragraphs>
  <TotalTime>13</TotalTime>
  <ScaleCrop>false</ScaleCrop>
  <LinksUpToDate>false</LinksUpToDate>
  <CharactersWithSpaces>1944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2023-12-28T09:06:00Z</dcterms:created>
  <dc:creator>张丁</dc:creator>
  <cp:lastModifiedBy>WPS_1742806582</cp:lastModifiedBy>
  <cp:lastPrinted>2013-01-11T12:21:00Z</cp:lastPrinted>
  <dcterms:modified xsi:type="dcterms:W3CDTF">2025-03-26T07:33:54Z</dcterms:modified>
  <dc:title>中国人民政治协商会议上海市第十届委员会</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eyJoZGlkIjoiYzNiNmU3ODBhNjNmMzM1ZWY3YmI4MzliOTY3NGMxNzMiLCJ1c2VySWQiOiIxNjkwMzU1OTI0In0=</vt:lpwstr>
  </property>
  <property fmtid="{D5CDD505-2E9C-101B-9397-08002B2CF9AE}" pid="4" name="ICV">
    <vt:lpwstr>0E4CBE863E2F41E59D1F398B2DF354ED_12</vt:lpwstr>
  </property>
</Properties>
</file>