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64"/>
        </w:tabs>
        <w:adjustRightInd w:val="0"/>
        <w:snapToGrid w:val="0"/>
        <w:spacing w:before="65" w:beforeLines="20"/>
        <w:rPr>
          <w:color w:val="FF0000"/>
        </w:rPr>
      </w:pPr>
      <w:r>
        <w:rPr>
          <w:rFonts w:hint="eastAsia"/>
          <w:color w:val="FF0000"/>
        </w:rPr>
        <w:t>提案内容：</w:t>
      </w:r>
    </w:p>
    <w:p>
      <w:pPr>
        <w:spacing w:before="65"/>
        <w:jc w:val="center"/>
        <w:rPr>
          <w:rFonts w:ascii="黑体" w:hAnsi="黑体" w:eastAsia="黑体"/>
          <w:b/>
          <w:sz w:val="44"/>
          <w:szCs w:val="44"/>
        </w:rPr>
      </w:pPr>
      <w:bookmarkStart w:id="0" w:name="casetitle2"/>
      <w:r>
        <w:rPr>
          <w:rFonts w:ascii="黑体" w:hAnsi="黑体" w:eastAsia="黑体"/>
          <w:b/>
          <w:sz w:val="44"/>
          <w:szCs w:val="44"/>
        </w:rPr>
        <w:t>关于提升农业保险服务供给，助力乡村振兴战略发展的提案</w:t>
      </w:r>
      <w:bookmarkEnd w:id="0"/>
    </w:p>
    <w:p>
      <w:pPr>
        <w:spacing w:before="65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before="65"/>
        <w:rPr>
          <w:rFonts w:ascii="黑体" w:hAnsi="黑体" w:eastAsia="黑体"/>
          <w:b/>
          <w:sz w:val="44"/>
          <w:szCs w:val="44"/>
        </w:rPr>
      </w:pP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※背景情况※</w:t>
      </w:r>
      <w:bookmarkStart w:id="1" w:name="_GoBack"/>
      <w:bookmarkEnd w:id="1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2004年，上海市政府按照“政府引导，政策扶持，市场运作，自愿投保”的管理方式，在全国率先推出农业保险地方财政补贴政策。2009年起，上海市财政局会同市农委先后下发了《关于完善本市农业保险补贴政策的通知》、《上海市市级财政农业保险保费补贴资金管理办法》，进一步规范了上海政策性农业保险市场运行，加强了政策性农业保险机构管理，促进了政策性农业保险规范健康稳定发展。根据2021年新一版《上海市市级财政农业保险保费补贴资金管理办法》，补贴农险范围包括种植业类、养殖业类、种源类、涉农财产类、淡季绿叶菜成本价格类等5大类，并对不同类型险种按40%―90%的比例实行差别保费补贴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根据2024年中央农村工作会议精神要求，全面推进乡村振兴是新时代建设农业强国的重要任务。习近平总书记强调，有力有效推进乡村全面振兴，以加快农业农村现代化更好推进中国式现代化建设。把各方面资源整合起来，根据各地特色、基础、资源的情况，突出重点、补齐短板、提高效率，深入推进乡村振兴。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――――――――――――――――――――――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※问题及分析※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涉农保险产品供给较为单一，无法满足农业强国以及特色农产品的发展需求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2016年起市级财政给予农业保险保费补贴的险种共5大类21项，2021年虽下发了新一版《上海市市级财政农业保险保费补贴资金管理办法》，但其保险保障依旧主要集中在传统的产量保险上，价格保险、收入保险、气象指数保险等创新险种供给不足，无法全面满足农业主体的风险需求。上海目前九大涉农区均有独具特色的农产品，如黄桃、柑橘、草莓、葡萄、大米等，现有的政策性农业保险产品已无法覆盖市场需求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尚未形成覆盖农业全领域的保障方案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目前农险主要聚焦于农产品，对于农业相关环境污染、土壤质量、农业基础设施、农业从业人员生产中存在的相关风险，还缺乏全面有效的风险保障体系。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需要进一步凝聚行业合力提供全面保障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随着现代农业不断发展，新型农业主体的出现，农业保险服务需求更加多元化、一体化、专业化，对保险公司特别是国有保险企业凝聚合力、发挥各自优势、为上海农业提供全方位风险保障提出更高要求，有待进一步完善机制、充分激发保险企业发展农业相关保险的积极性和主动性。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――――――――――――――――――――――</w:t>
      </w:r>
    </w:p>
    <w:p>
      <w:pPr>
        <w:pStyle w:val="16"/>
        <w:rPr>
          <w:rStyle w:val="7"/>
          <w:rFonts w:ascii="Calibri" w:hAnsi="Calibri" w:eastAsia="宋体" w:cs="Times New Roman"/>
        </w:rPr>
      </w:pPr>
      <w:r>
        <w:rPr>
          <w:rStyle w:val="7"/>
          <w:rFonts w:ascii="宋体" w:hAnsi="宋体" w:eastAsia="宋体" w:cs="宋体"/>
          <w:b/>
          <w:color w:val="FF0000"/>
          <w:sz w:val="36"/>
        </w:rPr>
        <w:t>※建议※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进一步优化农业保险的财政补贴政策，将更多的农产品保险和创新型保险纳入补贴范围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全面推进乡村振兴是新时代建设农业强国的重要任务，建议充分发挥保险机制在风险管理和社会保障方面的积极作用，扩大农业保险财政补贴范围，促进政策性和商业性农险相结合，鼓励各家商业保险机构开发更多产品，保障农民生产生活，服务乡村振兴战略。在此基础上，鼓励各商业保险机构开发覆盖环境土壤、农户生产、基础设施等领域的保险产品，为推进乡村振兴提供全面保障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7"/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</w:t>
      </w:r>
      <w:r>
        <w:rPr>
          <w:rStyle w:val="7"/>
          <w:rFonts w:hint="eastAsia" w:ascii="楷体" w:hAnsi="楷体" w:eastAsia="楷体" w:cs="楷体"/>
          <w:b/>
          <w:bCs/>
          <w:sz w:val="32"/>
          <w:szCs w:val="32"/>
        </w:rPr>
        <w:t>优化机制凝聚行业力量，更好满足乡村振兴战略发展需求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建议在“政府引导、市场化运作”整体原则的基础上，进一步提升行业服务农业发展、服务乡村振兴的活力动力，充分发挥国有大型金融企业的“头雁作用”，同时凝聚行业力量和智慧，打造市场协同服务农业发展的合力。同时，建议在地方特色性农产品农业保险中进一步引入竞争机制，以产品为单位进行公开招标，让更多有资质的保险机构参与到农险服务中来，通过市场竞争促使保险经营机构不断完善农险服务体系，提升服务能力，让更多的全国性、综合性保险主体参与到上海的乡村振兴战略中来，为三农提供更丰富、更多层次的保险服务，进一步助力特色农产品的品牌建设，支持特色农业产业提质增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第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PAGE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</w:rPr>
      <w:t>1</w:t>
    </w:r>
    <w:r>
      <w:rPr>
        <w:b/>
        <w:sz w:val="28"/>
        <w:szCs w:val="28"/>
      </w:rPr>
      <w:fldChar w:fldCharType="end"/>
    </w:r>
    <w:r>
      <w:rPr>
        <w:rFonts w:hint="eastAsia"/>
        <w:b/>
        <w:sz w:val="28"/>
        <w:szCs w:val="28"/>
      </w:rPr>
      <w:t>页</w:t>
    </w:r>
    <w:r>
      <w:rPr>
        <w:sz w:val="28"/>
        <w:szCs w:val="28"/>
        <w:lang w:val="zh-CN"/>
      </w:rPr>
      <w:t xml:space="preserve"> / </w:t>
    </w:r>
    <w:r>
      <w:rPr>
        <w:rFonts w:hint="eastAsia"/>
        <w:sz w:val="28"/>
        <w:szCs w:val="28"/>
        <w:lang w:val="zh-CN"/>
      </w:rPr>
      <w:t>共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NUMPAGES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</w:rPr>
      <w:t>2</w:t>
    </w:r>
    <w:r>
      <w:rPr>
        <w:b/>
        <w:sz w:val="28"/>
        <w:szCs w:val="28"/>
      </w:rPr>
      <w:fldChar w:fldCharType="end"/>
    </w:r>
    <w:r>
      <w:rPr>
        <w:rFonts w:hint="eastAsia"/>
        <w:sz w:val="28"/>
        <w:szCs w:val="2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NmU3ODBhNjNmMzM1ZWY3YmI4MzliOTY3NGMxNzMifQ=="/>
  </w:docVars>
  <w:rsids>
    <w:rsidRoot w:val="00000000"/>
    <w:rsid w:val="42F90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z-窗体顶端1"/>
    <w:basedOn w:val="1"/>
    <w:next w:val="1"/>
    <w:link w:val="10"/>
    <w:semiHidden/>
    <w:unhideWhenUsed/>
    <w:qFormat/>
    <w:uiPriority w:val="99"/>
    <w:pPr>
      <w:pBdr>
        <w:bottom w:val="single" w:color="auto" w:sz="6" w:space="1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10">
    <w:name w:val="z-窗体顶端 字符"/>
    <w:link w:val="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1">
    <w:name w:val="z-窗体底端1"/>
    <w:basedOn w:val="1"/>
    <w:next w:val="1"/>
    <w:link w:val="12"/>
    <w:semiHidden/>
    <w:unhideWhenUsed/>
    <w:qFormat/>
    <w:uiPriority w:val="99"/>
    <w:pPr>
      <w:pBdr>
        <w:top w:val="single" w:color="auto" w:sz="6" w:space="1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12">
    <w:name w:val="z-窗体底端 字符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页眉 字符"/>
    <w:link w:val="3"/>
    <w:qFormat/>
    <w:uiPriority w:val="99"/>
    <w:rPr>
      <w:rFonts w:ascii="宋体" w:hAnsi="宋体" w:cs="宋体"/>
      <w:sz w:val="18"/>
      <w:szCs w:val="18"/>
    </w:rPr>
  </w:style>
  <w:style w:type="character" w:customStyle="1" w:styleId="14">
    <w:name w:val="页脚 字符"/>
    <w:link w:val="2"/>
    <w:qFormat/>
    <w:uiPriority w:val="99"/>
    <w:rPr>
      <w:rFonts w:ascii="宋体" w:hAnsi="宋体" w:cs="宋体"/>
      <w:sz w:val="18"/>
      <w:szCs w:val="18"/>
    </w:rPr>
  </w:style>
  <w:style w:type="paragraph" w:customStyle="1" w:styleId="15">
    <w:name w:val="Normal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1748</Words>
  <Characters>1859</Characters>
  <Lines>3</Lines>
  <Paragraphs>1</Paragraphs>
  <TotalTime>58</TotalTime>
  <ScaleCrop>false</ScaleCrop>
  <LinksUpToDate>false</LinksUpToDate>
  <CharactersWithSpaces>1930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2021-04-01T05:38:00Z</dcterms:created>
  <dc:creator>2</dc:creator>
  <cp:lastModifiedBy>严茂森</cp:lastModifiedBy>
  <cp:lastPrinted>2023-12-26T01:02:00Z</cp:lastPrinted>
  <dcterms:modified xsi:type="dcterms:W3CDTF">2024-06-05T08:50:54Z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E3D15859C45D435E8C9E9BBA1930C628</vt:lpwstr>
  </property>
  <property fmtid="{D5CDD505-2E9C-101B-9397-08002B2CF9AE}" pid="3" name="KSOProductBuildVer">
    <vt:lpwstr>2052-12.1.0.16929</vt:lpwstr>
  </property>
</Properties>
</file>