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宋体" w:hAnsi="宋体"/>
          <w:color w:val="008000"/>
          <w:sz w:val="24"/>
        </w:rPr>
      </w:pPr>
      <w:r>
        <w:rPr>
          <w:rFonts w:hint="eastAsia" w:ascii="宋体" w:hAnsi="宋体"/>
          <w:color w:val="008000"/>
          <w:sz w:val="24"/>
        </w:rPr>
        <w:t>提案内容：</w:t>
      </w:r>
    </w:p>
    <w:p>
      <w:pPr>
        <w:jc w:val="center"/>
        <w:rPr>
          <w:rFonts w:ascii="黑体" w:hAnsi="黑体" w:eastAsia="黑体"/>
          <w:b/>
          <w:sz w:val="44"/>
          <w:szCs w:val="44"/>
        </w:rPr>
      </w:pPr>
      <w:bookmarkStart w:id="0" w:name="casetitle2"/>
      <w:r>
        <w:rPr>
          <w:rFonts w:ascii="黑体" w:hAnsi="黑体" w:eastAsia="黑体"/>
          <w:b/>
          <w:sz w:val="44"/>
          <w:szCs w:val="44"/>
        </w:rPr>
        <w:t>关于推动新型农业法治人才发展的提案</w:t>
      </w:r>
      <w:bookmarkEnd w:id="0"/>
    </w:p>
    <w:p>
      <w:pPr>
        <w:jc w:val="center"/>
        <w:rPr>
          <w:rFonts w:ascii="黑体" w:hAnsi="黑体" w:eastAsia="黑体"/>
          <w:sz w:val="44"/>
          <w:szCs w:val="44"/>
        </w:rPr>
      </w:pPr>
    </w:p>
    <w:p>
      <w:pPr>
        <w:rPr>
          <w:rFonts w:ascii="黑体" w:hAnsi="黑体" w:eastAsia="黑体"/>
          <w:b/>
          <w:color w:val="008000"/>
          <w:sz w:val="36"/>
          <w:szCs w:val="36"/>
        </w:rPr>
      </w:pPr>
    </w:p>
    <w:p>
      <w:pPr>
        <w:pStyle w:val="11"/>
        <w:rPr>
          <w:rStyle w:val="7"/>
          <w:rFonts w:ascii="Calibri" w:hAnsi="Calibri" w:eastAsia="宋体" w:cs="Times New Roman"/>
        </w:rPr>
      </w:pPr>
      <w:r>
        <w:rPr>
          <w:rStyle w:val="7"/>
          <w:rFonts w:ascii="宋体" w:hAnsi="宋体" w:eastAsia="宋体" w:cs="宋体"/>
          <w:b/>
          <w:color w:val="008000"/>
          <w:sz w:val="36"/>
        </w:rPr>
        <w:t>※背景情况※</w:t>
      </w:r>
    </w:p>
    <w:p>
      <w:pPr>
        <w:pStyle w:val="11"/>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 w:hAnsi="仿宋" w:eastAsia="仿宋" w:cs="仿宋"/>
          <w:sz w:val="32"/>
          <w:szCs w:val="32"/>
        </w:rPr>
      </w:pPr>
      <w:r>
        <w:rPr>
          <w:rStyle w:val="7"/>
          <w:rFonts w:hint="eastAsia" w:ascii="仿宋" w:hAnsi="仿宋" w:eastAsia="仿宋" w:cs="仿宋"/>
          <w:sz w:val="32"/>
          <w:szCs w:val="32"/>
        </w:rPr>
        <w:t>习近平总书记在中共二十大报告中指出“要加快建设农业强国，扎实推动乡</w:t>
      </w:r>
      <w:bookmarkStart w:id="1" w:name="_GoBack"/>
      <w:bookmarkEnd w:id="1"/>
      <w:r>
        <w:rPr>
          <w:rStyle w:val="7"/>
          <w:rFonts w:hint="eastAsia" w:ascii="仿宋" w:hAnsi="仿宋" w:eastAsia="仿宋" w:cs="仿宋"/>
          <w:sz w:val="32"/>
          <w:szCs w:val="32"/>
        </w:rPr>
        <w:t>村产业、人才、文化、生态、组织振兴。”坚持人才强国战略的深入实施。培养和造就一大批德才兼备的高素质人才，建设一支规模宏大、结构合理、素质优良的人才队伍。在城乡一体化发展的过程中,越来越多的现实法律问题亟待回应，需要越来越多的农业法治人才参与其中。</w:t>
      </w:r>
    </w:p>
    <w:p>
      <w:pPr>
        <w:pStyle w:val="11"/>
        <w:rPr>
          <w:rStyle w:val="7"/>
          <w:rFonts w:ascii="Calibri" w:hAnsi="Calibri" w:eastAsia="宋体" w:cs="Times New Roman"/>
        </w:rPr>
      </w:pPr>
      <w:r>
        <w:rPr>
          <w:rStyle w:val="7"/>
          <w:rFonts w:ascii="宋体" w:hAnsi="宋体" w:eastAsia="宋体" w:cs="宋体"/>
          <w:b/>
          <w:color w:val="008000"/>
          <w:sz w:val="36"/>
        </w:rPr>
        <w:t>――――――――――――――――――――――</w:t>
      </w:r>
    </w:p>
    <w:p>
      <w:pPr>
        <w:pStyle w:val="11"/>
        <w:rPr>
          <w:rStyle w:val="7"/>
          <w:rFonts w:ascii="Calibri" w:hAnsi="Calibri" w:eastAsia="宋体" w:cs="Times New Roman"/>
        </w:rPr>
      </w:pPr>
      <w:r>
        <w:rPr>
          <w:rStyle w:val="7"/>
          <w:rFonts w:ascii="宋体" w:hAnsi="宋体" w:eastAsia="宋体" w:cs="宋体"/>
          <w:b/>
          <w:color w:val="008000"/>
          <w:sz w:val="36"/>
        </w:rPr>
        <w:t>※问题及分析※</w:t>
      </w:r>
    </w:p>
    <w:p>
      <w:pPr>
        <w:pStyle w:val="11"/>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 w:hAnsi="仿宋" w:eastAsia="仿宋" w:cs="仿宋"/>
          <w:sz w:val="32"/>
          <w:szCs w:val="32"/>
        </w:rPr>
      </w:pPr>
      <w:r>
        <w:rPr>
          <w:rStyle w:val="7"/>
          <w:rFonts w:hint="eastAsia" w:ascii="仿宋" w:hAnsi="仿宋" w:eastAsia="仿宋" w:cs="仿宋"/>
          <w:sz w:val="32"/>
          <w:szCs w:val="32"/>
        </w:rPr>
        <w:t>目前存在的问题如下：</w:t>
      </w:r>
    </w:p>
    <w:p>
      <w:pPr>
        <w:pStyle w:val="11"/>
        <w:keepNext w:val="0"/>
        <w:keepLines w:val="0"/>
        <w:pageBreakBefore w:val="0"/>
        <w:widowControl w:val="0"/>
        <w:kinsoku/>
        <w:wordWrap/>
        <w:overflowPunct/>
        <w:topLinePunct w:val="0"/>
        <w:autoSpaceDE/>
        <w:autoSpaceDN/>
        <w:bidi w:val="0"/>
        <w:adjustRightInd/>
        <w:snapToGrid/>
        <w:ind w:firstLine="643" w:firstLineChars="200"/>
        <w:textAlignment w:val="auto"/>
        <w:rPr>
          <w:rStyle w:val="7"/>
          <w:rFonts w:hint="eastAsia" w:ascii="楷体" w:hAnsi="楷体" w:eastAsia="楷体" w:cs="楷体"/>
          <w:b/>
          <w:bCs/>
          <w:sz w:val="32"/>
          <w:szCs w:val="32"/>
        </w:rPr>
      </w:pPr>
      <w:r>
        <w:rPr>
          <w:rStyle w:val="7"/>
          <w:rFonts w:hint="default" w:ascii="楷体" w:hAnsi="楷体" w:eastAsia="楷体" w:cs="楷体"/>
          <w:b/>
          <w:bCs/>
          <w:sz w:val="32"/>
          <w:szCs w:val="32"/>
          <w:lang w:val="en"/>
        </w:rPr>
        <w:t>1</w:t>
      </w:r>
      <w:r>
        <w:rPr>
          <w:rStyle w:val="7"/>
          <w:rFonts w:hint="eastAsia" w:ascii="楷体" w:hAnsi="楷体" w:eastAsia="楷体" w:cs="楷体"/>
          <w:b/>
          <w:bCs/>
          <w:sz w:val="32"/>
          <w:szCs w:val="32"/>
          <w:lang w:val="en" w:eastAsia="zh-CN"/>
        </w:rPr>
        <w:t>、</w:t>
      </w:r>
      <w:r>
        <w:rPr>
          <w:rStyle w:val="7"/>
          <w:rFonts w:hint="eastAsia" w:ascii="楷体" w:hAnsi="楷体" w:eastAsia="楷体" w:cs="楷体"/>
          <w:b/>
          <w:bCs/>
          <w:sz w:val="32"/>
          <w:szCs w:val="32"/>
        </w:rPr>
        <w:t>人才素质良莠不齐，借调人员流失</w:t>
      </w:r>
    </w:p>
    <w:p>
      <w:pPr>
        <w:pStyle w:val="11"/>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 w:hAnsi="仿宋" w:eastAsia="仿宋" w:cs="仿宋"/>
          <w:sz w:val="32"/>
          <w:szCs w:val="32"/>
        </w:rPr>
      </w:pPr>
      <w:r>
        <w:rPr>
          <w:rStyle w:val="7"/>
          <w:rFonts w:hint="eastAsia" w:ascii="仿宋" w:hAnsi="仿宋" w:eastAsia="仿宋" w:cs="仿宋"/>
          <w:sz w:val="32"/>
          <w:szCs w:val="32"/>
        </w:rPr>
        <w:t>农业执法队伍中大多数执法人员是兽医、植物、水产养殖等农业类专业技术人员，并非法律专业出身，对法律法规及相关条例不熟悉，且平均年龄偏大，部分人员从体力、脑力、心力上都缺乏依法行政的基础条件。基层在编在岗的农业执法人员数量普遍较少，上级部门还要经常向其借调骨干人员，导致真正从事实际执法工作的人员少之又少。</w:t>
      </w:r>
    </w:p>
    <w:p>
      <w:pPr>
        <w:pStyle w:val="11"/>
        <w:keepNext w:val="0"/>
        <w:keepLines w:val="0"/>
        <w:pageBreakBefore w:val="0"/>
        <w:widowControl w:val="0"/>
        <w:kinsoku/>
        <w:wordWrap/>
        <w:overflowPunct/>
        <w:topLinePunct w:val="0"/>
        <w:autoSpaceDE/>
        <w:autoSpaceDN/>
        <w:bidi w:val="0"/>
        <w:adjustRightInd/>
        <w:snapToGrid/>
        <w:ind w:firstLine="643" w:firstLineChars="200"/>
        <w:textAlignment w:val="auto"/>
        <w:rPr>
          <w:rStyle w:val="7"/>
          <w:rFonts w:hint="eastAsia" w:ascii="楷体" w:hAnsi="楷体" w:eastAsia="楷体" w:cs="楷体"/>
          <w:b/>
          <w:bCs/>
          <w:sz w:val="32"/>
          <w:szCs w:val="32"/>
        </w:rPr>
      </w:pPr>
      <w:r>
        <w:rPr>
          <w:rStyle w:val="7"/>
          <w:rFonts w:hint="eastAsia" w:ascii="楷体" w:hAnsi="楷体" w:eastAsia="楷体" w:cs="楷体"/>
          <w:b/>
          <w:bCs/>
          <w:sz w:val="32"/>
          <w:szCs w:val="32"/>
          <w:lang w:val="en-US" w:eastAsia="zh-CN"/>
        </w:rPr>
        <w:t>2、</w:t>
      </w:r>
      <w:r>
        <w:rPr>
          <w:rStyle w:val="7"/>
          <w:rFonts w:hint="eastAsia" w:ascii="楷体" w:hAnsi="楷体" w:eastAsia="楷体" w:cs="楷体"/>
          <w:b/>
          <w:bCs/>
          <w:sz w:val="32"/>
          <w:szCs w:val="32"/>
        </w:rPr>
        <w:t>考核奖励机制不够完善，难以调动积极性</w:t>
      </w:r>
    </w:p>
    <w:p>
      <w:pPr>
        <w:pStyle w:val="11"/>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 w:hAnsi="仿宋" w:eastAsia="仿宋" w:cs="仿宋"/>
          <w:sz w:val="32"/>
          <w:szCs w:val="32"/>
        </w:rPr>
      </w:pPr>
      <w:r>
        <w:rPr>
          <w:rStyle w:val="7"/>
          <w:rFonts w:hint="eastAsia" w:ascii="仿宋" w:hAnsi="仿宋" w:eastAsia="仿宋" w:cs="仿宋"/>
          <w:sz w:val="32"/>
          <w:szCs w:val="32"/>
        </w:rPr>
        <w:t>目前农业执法人员在薪酬管理方面与其相适应的考核奖励机制不够完善，尤其在职务职级晋升方面还存在一定的瓶颈。其次，农业执法的外勤人员在工作环境、工作强度、工作性质等方面明显与内勤人员不同，但目前仍采用内外勤人员待遇一样的考核标准，难以调动积极性。</w:t>
      </w:r>
    </w:p>
    <w:p>
      <w:pPr>
        <w:pStyle w:val="11"/>
        <w:keepNext w:val="0"/>
        <w:keepLines w:val="0"/>
        <w:pageBreakBefore w:val="0"/>
        <w:widowControl w:val="0"/>
        <w:kinsoku/>
        <w:wordWrap/>
        <w:overflowPunct/>
        <w:topLinePunct w:val="0"/>
        <w:autoSpaceDE/>
        <w:autoSpaceDN/>
        <w:bidi w:val="0"/>
        <w:adjustRightInd/>
        <w:snapToGrid/>
        <w:ind w:firstLine="643" w:firstLineChars="200"/>
        <w:textAlignment w:val="auto"/>
        <w:rPr>
          <w:rStyle w:val="7"/>
          <w:rFonts w:hint="eastAsia" w:ascii="楷体" w:hAnsi="楷体" w:eastAsia="楷体" w:cs="楷体"/>
          <w:b/>
          <w:bCs/>
          <w:sz w:val="32"/>
          <w:szCs w:val="32"/>
        </w:rPr>
      </w:pPr>
      <w:r>
        <w:rPr>
          <w:rStyle w:val="7"/>
          <w:rFonts w:hint="eastAsia" w:ascii="楷体" w:hAnsi="楷体" w:eastAsia="楷体" w:cs="楷体"/>
          <w:b/>
          <w:bCs/>
          <w:sz w:val="32"/>
          <w:szCs w:val="32"/>
          <w:lang w:val="en-US" w:eastAsia="zh-CN"/>
        </w:rPr>
        <w:t>3、</w:t>
      </w:r>
      <w:r>
        <w:rPr>
          <w:rStyle w:val="7"/>
          <w:rFonts w:hint="eastAsia" w:ascii="楷体" w:hAnsi="楷体" w:eastAsia="楷体" w:cs="楷体"/>
          <w:b/>
          <w:bCs/>
          <w:sz w:val="32"/>
          <w:szCs w:val="32"/>
        </w:rPr>
        <w:t>高校相关专业课程设置与实践脱节</w:t>
      </w:r>
    </w:p>
    <w:p>
      <w:pPr>
        <w:pStyle w:val="11"/>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 w:hAnsi="仿宋" w:eastAsia="仿宋" w:cs="仿宋"/>
          <w:sz w:val="32"/>
          <w:szCs w:val="32"/>
        </w:rPr>
      </w:pPr>
      <w:r>
        <w:rPr>
          <w:rStyle w:val="7"/>
          <w:rFonts w:hint="eastAsia" w:ascii="仿宋" w:hAnsi="仿宋" w:eastAsia="仿宋" w:cs="仿宋"/>
          <w:sz w:val="32"/>
          <w:szCs w:val="32"/>
        </w:rPr>
        <w:t>目前，全国30多所涉农高校开设了农业农村法治方面的课程，但是这些课程的设置与实践严重脱节，也没有为学生提供涉农公共法律服务实践锻炼的机会。</w:t>
      </w:r>
    </w:p>
    <w:p>
      <w:pPr>
        <w:pStyle w:val="11"/>
        <w:keepNext w:val="0"/>
        <w:keepLines w:val="0"/>
        <w:pageBreakBefore w:val="0"/>
        <w:widowControl w:val="0"/>
        <w:kinsoku/>
        <w:wordWrap/>
        <w:overflowPunct/>
        <w:topLinePunct w:val="0"/>
        <w:autoSpaceDE/>
        <w:autoSpaceDN/>
        <w:bidi w:val="0"/>
        <w:adjustRightInd/>
        <w:snapToGrid/>
        <w:ind w:firstLine="643" w:firstLineChars="200"/>
        <w:textAlignment w:val="auto"/>
        <w:rPr>
          <w:rStyle w:val="7"/>
          <w:rFonts w:hint="eastAsia" w:ascii="楷体" w:hAnsi="楷体" w:eastAsia="楷体" w:cs="楷体"/>
          <w:b/>
          <w:bCs/>
          <w:sz w:val="32"/>
          <w:szCs w:val="32"/>
        </w:rPr>
      </w:pPr>
      <w:r>
        <w:rPr>
          <w:rStyle w:val="7"/>
          <w:rFonts w:hint="eastAsia" w:ascii="楷体" w:hAnsi="楷体" w:eastAsia="楷体" w:cs="楷体"/>
          <w:b/>
          <w:bCs/>
          <w:sz w:val="32"/>
          <w:szCs w:val="32"/>
          <w:lang w:val="en-US" w:eastAsia="zh-CN"/>
        </w:rPr>
        <w:t>4、</w:t>
      </w:r>
      <w:r>
        <w:rPr>
          <w:rStyle w:val="7"/>
          <w:rFonts w:hint="eastAsia" w:ascii="楷体" w:hAnsi="楷体" w:eastAsia="楷体" w:cs="楷体"/>
          <w:b/>
          <w:bCs/>
          <w:sz w:val="32"/>
          <w:szCs w:val="32"/>
        </w:rPr>
        <w:t>涉农法律法规更新不及时，不利于执法人员学习</w:t>
      </w:r>
    </w:p>
    <w:p>
      <w:pPr>
        <w:pStyle w:val="11"/>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 w:hAnsi="仿宋" w:eastAsia="仿宋" w:cs="仿宋"/>
          <w:sz w:val="32"/>
          <w:szCs w:val="32"/>
        </w:rPr>
      </w:pPr>
      <w:r>
        <w:rPr>
          <w:rStyle w:val="7"/>
          <w:rFonts w:hint="eastAsia" w:ascii="仿宋" w:hAnsi="仿宋" w:eastAsia="仿宋" w:cs="仿宋"/>
          <w:sz w:val="32"/>
          <w:szCs w:val="32"/>
        </w:rPr>
        <w:t>农业综合行政执法职能涉及15类农业法律、29部行业行政法规、148份部门规章、215件规范性文件以及8部其他相关行政法规，涵盖了兽医、种植业、渔业渔政等25个方面。目前农业领域的法律法规出台时间跨度较大，部分更新不及时，甚至存在前后矛盾、相互冲突等问题，给执法工作带来许多困扰。有时候出现上位法已经修订出台，但地方作出的相关规范性文件并没有及时修订，从而导致适用性问题的争议。</w:t>
      </w:r>
    </w:p>
    <w:p>
      <w:pPr>
        <w:pStyle w:val="11"/>
        <w:keepNext w:val="0"/>
        <w:keepLines w:val="0"/>
        <w:pageBreakBefore w:val="0"/>
        <w:widowControl w:val="0"/>
        <w:kinsoku/>
        <w:wordWrap/>
        <w:overflowPunct/>
        <w:topLinePunct w:val="0"/>
        <w:autoSpaceDE/>
        <w:autoSpaceDN/>
        <w:bidi w:val="0"/>
        <w:adjustRightInd/>
        <w:snapToGrid/>
        <w:ind w:firstLine="643" w:firstLineChars="200"/>
        <w:textAlignment w:val="auto"/>
        <w:rPr>
          <w:rStyle w:val="7"/>
          <w:rFonts w:hint="eastAsia" w:ascii="楷体" w:hAnsi="楷体" w:eastAsia="楷体" w:cs="楷体"/>
          <w:b/>
          <w:bCs/>
          <w:sz w:val="32"/>
          <w:szCs w:val="32"/>
        </w:rPr>
      </w:pPr>
      <w:r>
        <w:rPr>
          <w:rStyle w:val="7"/>
          <w:rFonts w:hint="eastAsia" w:ascii="楷体" w:hAnsi="楷体" w:eastAsia="楷体" w:cs="楷体"/>
          <w:b/>
          <w:bCs/>
          <w:sz w:val="32"/>
          <w:szCs w:val="32"/>
          <w:lang w:val="en-US" w:eastAsia="zh-CN"/>
        </w:rPr>
        <w:t>5、</w:t>
      </w:r>
      <w:r>
        <w:rPr>
          <w:rStyle w:val="7"/>
          <w:rFonts w:hint="eastAsia" w:ascii="楷体" w:hAnsi="楷体" w:eastAsia="楷体" w:cs="楷体"/>
          <w:b/>
          <w:bCs/>
          <w:sz w:val="32"/>
          <w:szCs w:val="32"/>
        </w:rPr>
        <w:t>与全面乡村振兴相适应的新型法治人才缺失</w:t>
      </w:r>
    </w:p>
    <w:p>
      <w:pPr>
        <w:pStyle w:val="11"/>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 w:hAnsi="仿宋" w:eastAsia="仿宋" w:cs="仿宋"/>
          <w:sz w:val="32"/>
          <w:szCs w:val="32"/>
        </w:rPr>
      </w:pPr>
      <w:r>
        <w:rPr>
          <w:rStyle w:val="7"/>
          <w:rFonts w:hint="eastAsia" w:ascii="仿宋" w:hAnsi="仿宋" w:eastAsia="仿宋" w:cs="仿宋"/>
          <w:sz w:val="32"/>
          <w:szCs w:val="32"/>
        </w:rPr>
        <w:t>随着全面乡村振兴战略的实施，农业相关新业态发展势头迅猛，传统种植养殖模式、经营模式正在悄然变化，蔬菜品种需求日益上升，稻渔综合种养新模式渐成规模，养宠队伍日益庞大，一些以宠物为主体的旅游休闲场所，如赛马场、宠物乐园等新模式新业态引起了一系列新问题，目前相关的法律法规不适用，与之适应的新型法治人才也异常紧缺。</w:t>
      </w:r>
    </w:p>
    <w:p>
      <w:pPr>
        <w:pStyle w:val="11"/>
        <w:rPr>
          <w:rStyle w:val="7"/>
          <w:rFonts w:ascii="Calibri" w:hAnsi="Calibri" w:eastAsia="宋体" w:cs="Times New Roman"/>
        </w:rPr>
      </w:pPr>
      <w:r>
        <w:rPr>
          <w:rStyle w:val="7"/>
          <w:rFonts w:ascii="宋体" w:hAnsi="宋体" w:eastAsia="宋体" w:cs="宋体"/>
          <w:b/>
          <w:color w:val="008000"/>
          <w:sz w:val="36"/>
        </w:rPr>
        <w:t>――――――――――――――――――――――</w:t>
      </w:r>
    </w:p>
    <w:p>
      <w:pPr>
        <w:pStyle w:val="11"/>
        <w:rPr>
          <w:rStyle w:val="7"/>
          <w:rFonts w:ascii="Calibri" w:hAnsi="Calibri" w:eastAsia="宋体" w:cs="Times New Roman"/>
        </w:rPr>
      </w:pPr>
      <w:r>
        <w:rPr>
          <w:rStyle w:val="7"/>
          <w:rFonts w:ascii="宋体" w:hAnsi="宋体" w:eastAsia="宋体" w:cs="宋体"/>
          <w:b/>
          <w:color w:val="008000"/>
          <w:sz w:val="36"/>
        </w:rPr>
        <w:t>※建议※</w:t>
      </w:r>
    </w:p>
    <w:p>
      <w:pPr>
        <w:pStyle w:val="11"/>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 w:hAnsi="仿宋" w:eastAsia="仿宋" w:cs="仿宋"/>
          <w:sz w:val="32"/>
          <w:szCs w:val="32"/>
        </w:rPr>
      </w:pPr>
      <w:r>
        <w:rPr>
          <w:rStyle w:val="7"/>
          <w:rFonts w:hint="eastAsia" w:ascii="仿宋" w:hAnsi="仿宋" w:eastAsia="仿宋" w:cs="仿宋"/>
          <w:sz w:val="32"/>
          <w:szCs w:val="32"/>
        </w:rPr>
        <w:t>因此提出以下建议：</w:t>
      </w:r>
    </w:p>
    <w:p>
      <w:pPr>
        <w:pStyle w:val="11"/>
        <w:keepNext w:val="0"/>
        <w:keepLines w:val="0"/>
        <w:pageBreakBefore w:val="0"/>
        <w:widowControl w:val="0"/>
        <w:kinsoku/>
        <w:wordWrap/>
        <w:overflowPunct/>
        <w:topLinePunct w:val="0"/>
        <w:autoSpaceDE/>
        <w:autoSpaceDN/>
        <w:bidi w:val="0"/>
        <w:adjustRightInd/>
        <w:snapToGrid/>
        <w:ind w:firstLine="643" w:firstLineChars="200"/>
        <w:textAlignment w:val="auto"/>
        <w:rPr>
          <w:rStyle w:val="7"/>
          <w:rFonts w:hint="eastAsia" w:ascii="楷体" w:hAnsi="楷体" w:eastAsia="楷体" w:cs="楷体"/>
          <w:b/>
          <w:bCs/>
          <w:sz w:val="32"/>
          <w:szCs w:val="32"/>
        </w:rPr>
      </w:pPr>
      <w:r>
        <w:rPr>
          <w:rStyle w:val="7"/>
          <w:rFonts w:hint="eastAsia" w:ascii="楷体" w:hAnsi="楷体" w:eastAsia="楷体" w:cs="楷体"/>
          <w:b/>
          <w:bCs/>
          <w:sz w:val="32"/>
          <w:szCs w:val="32"/>
          <w:lang w:val="en-US" w:eastAsia="zh-CN"/>
        </w:rPr>
        <w:t>1、</w:t>
      </w:r>
      <w:r>
        <w:rPr>
          <w:rStyle w:val="7"/>
          <w:rFonts w:hint="eastAsia" w:ascii="楷体" w:hAnsi="楷体" w:eastAsia="楷体" w:cs="楷体"/>
          <w:b/>
          <w:bCs/>
          <w:sz w:val="32"/>
          <w:szCs w:val="32"/>
        </w:rPr>
        <w:t>加强法律业务、专业技能培训</w:t>
      </w:r>
    </w:p>
    <w:p>
      <w:pPr>
        <w:pStyle w:val="11"/>
        <w:keepNext w:val="0"/>
        <w:keepLines w:val="0"/>
        <w:pageBreakBefore w:val="0"/>
        <w:widowControl w:val="0"/>
        <w:kinsoku/>
        <w:wordWrap/>
        <w:overflowPunct/>
        <w:topLinePunct w:val="0"/>
        <w:autoSpaceDE/>
        <w:autoSpaceDN/>
        <w:bidi w:val="0"/>
        <w:adjustRightInd/>
        <w:snapToGrid/>
        <w:ind w:firstLine="643" w:firstLineChars="200"/>
        <w:textAlignment w:val="auto"/>
        <w:rPr>
          <w:rStyle w:val="7"/>
          <w:rFonts w:hint="eastAsia" w:ascii="仿宋" w:hAnsi="仿宋" w:eastAsia="仿宋" w:cs="仿宋"/>
          <w:b/>
          <w:bCs/>
          <w:sz w:val="32"/>
          <w:szCs w:val="32"/>
        </w:rPr>
      </w:pPr>
      <w:r>
        <w:rPr>
          <w:rStyle w:val="7"/>
          <w:rFonts w:hint="eastAsia" w:ascii="仿宋" w:hAnsi="仿宋" w:eastAsia="仿宋" w:cs="仿宋"/>
          <w:b/>
          <w:bCs/>
          <w:sz w:val="32"/>
          <w:szCs w:val="32"/>
          <w:lang w:eastAsia="zh-CN"/>
        </w:rPr>
        <w:t>（</w:t>
      </w:r>
      <w:r>
        <w:rPr>
          <w:rStyle w:val="7"/>
          <w:rFonts w:hint="eastAsia" w:ascii="仿宋" w:hAnsi="仿宋" w:eastAsia="仿宋" w:cs="仿宋"/>
          <w:b/>
          <w:bCs/>
          <w:sz w:val="32"/>
          <w:szCs w:val="32"/>
          <w:lang w:val="en-US" w:eastAsia="zh-CN"/>
        </w:rPr>
        <w:t>1）</w:t>
      </w:r>
      <w:r>
        <w:rPr>
          <w:rStyle w:val="7"/>
          <w:rFonts w:hint="eastAsia" w:ascii="仿宋" w:hAnsi="仿宋" w:eastAsia="仿宋" w:cs="仿宋"/>
          <w:b/>
          <w:bCs/>
          <w:sz w:val="32"/>
          <w:szCs w:val="32"/>
        </w:rPr>
        <w:t>可以重点编写常用法律法规的相关讲座与培训课程，提升执法人员对日常法律法规的学习和应用。</w:t>
      </w:r>
      <w:r>
        <w:rPr>
          <w:rStyle w:val="7"/>
          <w:rFonts w:hint="eastAsia" w:ascii="仿宋" w:hAnsi="仿宋" w:eastAsia="仿宋" w:cs="仿宋"/>
          <w:b/>
          <w:bCs/>
          <w:sz w:val="32"/>
          <w:szCs w:val="32"/>
          <w:lang w:eastAsia="zh-CN"/>
        </w:rPr>
        <w:t>（</w:t>
      </w:r>
      <w:r>
        <w:rPr>
          <w:rStyle w:val="7"/>
          <w:rFonts w:hint="eastAsia" w:ascii="仿宋" w:hAnsi="仿宋" w:eastAsia="仿宋" w:cs="仿宋"/>
          <w:b/>
          <w:bCs/>
          <w:sz w:val="32"/>
          <w:szCs w:val="32"/>
          <w:lang w:val="en-US" w:eastAsia="zh-CN"/>
        </w:rPr>
        <w:t>2）</w:t>
      </w:r>
      <w:r>
        <w:rPr>
          <w:rStyle w:val="7"/>
          <w:rFonts w:hint="eastAsia" w:ascii="仿宋" w:hAnsi="仿宋" w:eastAsia="仿宋" w:cs="仿宋"/>
          <w:b/>
          <w:bCs/>
          <w:sz w:val="32"/>
          <w:szCs w:val="32"/>
        </w:rPr>
        <w:t>以易发、多发案件为基础，结合典型案例进行深入分析，使执法人员对执法程序、执法思路、案卷制作等方面有更清晰、更深刻的认识。</w:t>
      </w:r>
      <w:r>
        <w:rPr>
          <w:rStyle w:val="7"/>
          <w:rFonts w:hint="eastAsia" w:ascii="仿宋" w:hAnsi="仿宋" w:eastAsia="仿宋" w:cs="仿宋"/>
          <w:b/>
          <w:bCs/>
          <w:sz w:val="32"/>
          <w:szCs w:val="32"/>
          <w:lang w:eastAsia="zh-CN"/>
        </w:rPr>
        <w:t>（</w:t>
      </w:r>
      <w:r>
        <w:rPr>
          <w:rStyle w:val="7"/>
          <w:rFonts w:hint="eastAsia" w:ascii="仿宋" w:hAnsi="仿宋" w:eastAsia="仿宋" w:cs="仿宋"/>
          <w:b/>
          <w:bCs/>
          <w:sz w:val="32"/>
          <w:szCs w:val="32"/>
          <w:lang w:val="en-US" w:eastAsia="zh-CN"/>
        </w:rPr>
        <w:t>3）</w:t>
      </w:r>
      <w:r>
        <w:rPr>
          <w:rStyle w:val="7"/>
          <w:rFonts w:hint="eastAsia" w:ascii="仿宋" w:hAnsi="仿宋" w:eastAsia="仿宋" w:cs="仿宋"/>
          <w:b/>
          <w:bCs/>
          <w:sz w:val="32"/>
          <w:szCs w:val="32"/>
        </w:rPr>
        <w:t>结合线上线下平台方式，灵活推荐多种优质网络资源，让农业法治工作人员自由自主地选择学习。</w:t>
      </w:r>
      <w:r>
        <w:rPr>
          <w:rStyle w:val="7"/>
          <w:rFonts w:hint="eastAsia" w:ascii="仿宋" w:hAnsi="仿宋" w:eastAsia="仿宋" w:cs="仿宋"/>
          <w:b/>
          <w:bCs/>
          <w:sz w:val="32"/>
          <w:szCs w:val="32"/>
          <w:lang w:eastAsia="zh-CN"/>
        </w:rPr>
        <w:t>（</w:t>
      </w:r>
      <w:r>
        <w:rPr>
          <w:rStyle w:val="7"/>
          <w:rFonts w:hint="eastAsia" w:ascii="仿宋" w:hAnsi="仿宋" w:eastAsia="仿宋" w:cs="仿宋"/>
          <w:b/>
          <w:bCs/>
          <w:sz w:val="32"/>
          <w:szCs w:val="32"/>
          <w:lang w:val="en-US" w:eastAsia="zh-CN"/>
        </w:rPr>
        <w:t>4）</w:t>
      </w:r>
      <w:r>
        <w:rPr>
          <w:rStyle w:val="7"/>
          <w:rFonts w:hint="eastAsia" w:ascii="仿宋" w:hAnsi="仿宋" w:eastAsia="仿宋" w:cs="仿宋"/>
          <w:b/>
          <w:bCs/>
          <w:sz w:val="32"/>
          <w:szCs w:val="32"/>
        </w:rPr>
        <w:t>开展定期的任务考核，对其理论知识和实操技能进行综合鉴定，进一步加强和提高行政执法能力。</w:t>
      </w:r>
    </w:p>
    <w:p>
      <w:pPr>
        <w:pStyle w:val="11"/>
        <w:keepNext w:val="0"/>
        <w:keepLines w:val="0"/>
        <w:pageBreakBefore w:val="0"/>
        <w:widowControl w:val="0"/>
        <w:kinsoku/>
        <w:wordWrap/>
        <w:overflowPunct/>
        <w:topLinePunct w:val="0"/>
        <w:autoSpaceDE/>
        <w:autoSpaceDN/>
        <w:bidi w:val="0"/>
        <w:adjustRightInd/>
        <w:snapToGrid/>
        <w:ind w:firstLine="643" w:firstLineChars="200"/>
        <w:textAlignment w:val="auto"/>
        <w:rPr>
          <w:rStyle w:val="7"/>
          <w:rFonts w:hint="eastAsia" w:ascii="楷体" w:hAnsi="楷体" w:eastAsia="楷体" w:cs="楷体"/>
          <w:b/>
          <w:bCs/>
          <w:sz w:val="32"/>
          <w:szCs w:val="32"/>
        </w:rPr>
      </w:pPr>
      <w:r>
        <w:rPr>
          <w:rStyle w:val="7"/>
          <w:rFonts w:hint="eastAsia" w:ascii="楷体" w:hAnsi="楷体" w:eastAsia="楷体" w:cs="楷体"/>
          <w:b/>
          <w:bCs/>
          <w:sz w:val="32"/>
          <w:szCs w:val="32"/>
          <w:lang w:val="en-US" w:eastAsia="zh-CN"/>
        </w:rPr>
        <w:t>2、</w:t>
      </w:r>
      <w:r>
        <w:rPr>
          <w:rStyle w:val="7"/>
          <w:rFonts w:hint="eastAsia" w:ascii="楷体" w:hAnsi="楷体" w:eastAsia="楷体" w:cs="楷体"/>
          <w:b/>
          <w:bCs/>
          <w:sz w:val="32"/>
          <w:szCs w:val="32"/>
        </w:rPr>
        <w:t>与院校联合定向授课，建构资格认定模式</w:t>
      </w:r>
    </w:p>
    <w:p>
      <w:pPr>
        <w:pStyle w:val="11"/>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 w:hAnsi="仿宋" w:eastAsia="仿宋" w:cs="仿宋"/>
          <w:sz w:val="32"/>
          <w:szCs w:val="32"/>
        </w:rPr>
      </w:pPr>
      <w:r>
        <w:rPr>
          <w:rStyle w:val="7"/>
          <w:rFonts w:hint="eastAsia" w:ascii="仿宋" w:hAnsi="仿宋" w:eastAsia="仿宋" w:cs="仿宋"/>
          <w:sz w:val="32"/>
          <w:szCs w:val="32"/>
        </w:rPr>
        <w:t>农业农村部门应在人才服务中心、市委组织部等单位的支持和指导下，与本地涉农或法律院校开展教育培训合作。</w:t>
      </w:r>
      <w:r>
        <w:rPr>
          <w:rStyle w:val="7"/>
          <w:rFonts w:hint="eastAsia" w:ascii="仿宋" w:hAnsi="仿宋" w:eastAsia="仿宋" w:cs="仿宋"/>
          <w:b/>
          <w:bCs/>
          <w:sz w:val="32"/>
          <w:szCs w:val="32"/>
          <w:lang w:eastAsia="zh-CN"/>
        </w:rPr>
        <w:t>（</w:t>
      </w:r>
      <w:r>
        <w:rPr>
          <w:rStyle w:val="7"/>
          <w:rFonts w:hint="eastAsia" w:ascii="仿宋" w:hAnsi="仿宋" w:eastAsia="仿宋" w:cs="仿宋"/>
          <w:b/>
          <w:bCs/>
          <w:sz w:val="32"/>
          <w:szCs w:val="32"/>
          <w:lang w:val="en-US" w:eastAsia="zh-CN"/>
        </w:rPr>
        <w:t>1）</w:t>
      </w:r>
      <w:r>
        <w:rPr>
          <w:rStyle w:val="7"/>
          <w:rFonts w:hint="eastAsia" w:ascii="仿宋" w:hAnsi="仿宋" w:eastAsia="仿宋" w:cs="仿宋"/>
          <w:b/>
          <w:bCs/>
          <w:sz w:val="32"/>
          <w:szCs w:val="32"/>
        </w:rPr>
        <w:t>定制特色农业法治课程，内容涵盖法律法规和涉农公共法律服务实践，构建农业法治人才培养的长效机制。</w:t>
      </w:r>
      <w:r>
        <w:rPr>
          <w:rStyle w:val="7"/>
          <w:rFonts w:hint="eastAsia" w:ascii="仿宋" w:hAnsi="仿宋" w:eastAsia="仿宋" w:cs="仿宋"/>
          <w:b/>
          <w:bCs/>
          <w:sz w:val="32"/>
          <w:szCs w:val="32"/>
          <w:lang w:eastAsia="zh-CN"/>
        </w:rPr>
        <w:t>（</w:t>
      </w:r>
      <w:r>
        <w:rPr>
          <w:rStyle w:val="7"/>
          <w:rFonts w:hint="eastAsia" w:ascii="仿宋" w:hAnsi="仿宋" w:eastAsia="仿宋" w:cs="仿宋"/>
          <w:b/>
          <w:bCs/>
          <w:sz w:val="32"/>
          <w:szCs w:val="32"/>
          <w:lang w:val="en-US" w:eastAsia="zh-CN"/>
        </w:rPr>
        <w:t>2）</w:t>
      </w:r>
      <w:r>
        <w:rPr>
          <w:rStyle w:val="7"/>
          <w:rFonts w:hint="eastAsia" w:ascii="仿宋" w:hAnsi="仿宋" w:eastAsia="仿宋" w:cs="仿宋"/>
          <w:b/>
          <w:bCs/>
          <w:sz w:val="32"/>
          <w:szCs w:val="32"/>
        </w:rPr>
        <w:t>建构资格认定模式，通过完成一系列课程的学习和考试，获得相关的资格认定证书。</w:t>
      </w:r>
      <w:r>
        <w:rPr>
          <w:rStyle w:val="7"/>
          <w:rFonts w:hint="eastAsia" w:ascii="仿宋" w:hAnsi="仿宋" w:eastAsia="仿宋" w:cs="仿宋"/>
          <w:b/>
          <w:bCs/>
          <w:sz w:val="32"/>
          <w:szCs w:val="32"/>
          <w:lang w:eastAsia="zh-CN"/>
        </w:rPr>
        <w:t>（</w:t>
      </w:r>
      <w:r>
        <w:rPr>
          <w:rStyle w:val="7"/>
          <w:rFonts w:hint="eastAsia" w:ascii="仿宋" w:hAnsi="仿宋" w:eastAsia="仿宋" w:cs="仿宋"/>
          <w:b/>
          <w:bCs/>
          <w:sz w:val="32"/>
          <w:szCs w:val="32"/>
          <w:lang w:val="en-US" w:eastAsia="zh-CN"/>
        </w:rPr>
        <w:t>3）</w:t>
      </w:r>
      <w:r>
        <w:rPr>
          <w:rStyle w:val="7"/>
          <w:rFonts w:hint="eastAsia" w:ascii="仿宋" w:hAnsi="仿宋" w:eastAsia="仿宋" w:cs="仿宋"/>
          <w:b/>
          <w:bCs/>
          <w:sz w:val="32"/>
          <w:szCs w:val="32"/>
        </w:rPr>
        <w:t>择优挑选执法人员进入学校公费在职深造，进行更高学历提升的深入学习。</w:t>
      </w:r>
      <w:r>
        <w:rPr>
          <w:rStyle w:val="7"/>
          <w:rFonts w:hint="eastAsia" w:ascii="仿宋" w:hAnsi="仿宋" w:eastAsia="仿宋" w:cs="仿宋"/>
          <w:b/>
          <w:bCs/>
          <w:sz w:val="32"/>
          <w:szCs w:val="32"/>
          <w:lang w:eastAsia="zh-CN"/>
        </w:rPr>
        <w:t>（</w:t>
      </w:r>
      <w:r>
        <w:rPr>
          <w:rStyle w:val="7"/>
          <w:rFonts w:hint="eastAsia" w:ascii="仿宋" w:hAnsi="仿宋" w:eastAsia="仿宋" w:cs="仿宋"/>
          <w:b/>
          <w:bCs/>
          <w:sz w:val="32"/>
          <w:szCs w:val="32"/>
          <w:lang w:val="en-US" w:eastAsia="zh-CN"/>
        </w:rPr>
        <w:t>4）</w:t>
      </w:r>
      <w:r>
        <w:rPr>
          <w:rStyle w:val="7"/>
          <w:rFonts w:hint="eastAsia" w:ascii="仿宋" w:hAnsi="仿宋" w:eastAsia="仿宋" w:cs="仿宋"/>
          <w:b/>
          <w:bCs/>
          <w:sz w:val="32"/>
          <w:szCs w:val="32"/>
        </w:rPr>
        <w:t>院校可以推荐部分优秀学生到农业执法大队见习实习。让</w:t>
      </w:r>
      <w:r>
        <w:rPr>
          <w:rStyle w:val="7"/>
          <w:rFonts w:hint="eastAsia" w:ascii="仿宋" w:hAnsi="仿宋" w:eastAsia="仿宋" w:cs="仿宋"/>
          <w:sz w:val="32"/>
          <w:szCs w:val="32"/>
        </w:rPr>
        <w:t>学生将书本知识与实践相结合，为农业执法提供人才资源。</w:t>
      </w:r>
    </w:p>
    <w:p>
      <w:pPr>
        <w:pStyle w:val="11"/>
        <w:keepNext w:val="0"/>
        <w:keepLines w:val="0"/>
        <w:pageBreakBefore w:val="0"/>
        <w:widowControl w:val="0"/>
        <w:kinsoku/>
        <w:wordWrap/>
        <w:overflowPunct/>
        <w:topLinePunct w:val="0"/>
        <w:autoSpaceDE/>
        <w:autoSpaceDN/>
        <w:bidi w:val="0"/>
        <w:adjustRightInd/>
        <w:snapToGrid/>
        <w:ind w:firstLine="643" w:firstLineChars="200"/>
        <w:textAlignment w:val="auto"/>
        <w:rPr>
          <w:rStyle w:val="7"/>
          <w:rFonts w:hint="eastAsia" w:ascii="楷体" w:hAnsi="楷体" w:eastAsia="楷体" w:cs="楷体"/>
          <w:b/>
          <w:bCs/>
          <w:sz w:val="32"/>
          <w:szCs w:val="32"/>
        </w:rPr>
      </w:pPr>
      <w:r>
        <w:rPr>
          <w:rStyle w:val="7"/>
          <w:rFonts w:hint="eastAsia" w:ascii="楷体" w:hAnsi="楷体" w:eastAsia="楷体" w:cs="楷体"/>
          <w:b/>
          <w:bCs/>
          <w:sz w:val="32"/>
          <w:szCs w:val="32"/>
          <w:lang w:val="en-US" w:eastAsia="zh-CN"/>
        </w:rPr>
        <w:t>3、</w:t>
      </w:r>
      <w:r>
        <w:rPr>
          <w:rStyle w:val="7"/>
          <w:rFonts w:hint="eastAsia" w:ascii="楷体" w:hAnsi="楷体" w:eastAsia="楷体" w:cs="楷体"/>
          <w:b/>
          <w:bCs/>
          <w:sz w:val="32"/>
          <w:szCs w:val="32"/>
        </w:rPr>
        <w:t>完善农业行政法律体系，以利于法治人才学习</w:t>
      </w:r>
    </w:p>
    <w:p>
      <w:pPr>
        <w:pStyle w:val="11"/>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 w:hAnsi="仿宋" w:eastAsia="仿宋" w:cs="仿宋"/>
          <w:sz w:val="32"/>
          <w:szCs w:val="32"/>
        </w:rPr>
      </w:pPr>
      <w:r>
        <w:rPr>
          <w:rStyle w:val="7"/>
          <w:rFonts w:hint="eastAsia" w:ascii="仿宋" w:hAnsi="仿宋" w:eastAsia="仿宋" w:cs="仿宋"/>
          <w:sz w:val="32"/>
          <w:szCs w:val="32"/>
        </w:rPr>
        <w:t>基层农业农村部门应总结工作经验，反馈执法实践过程中遇到的实体法、程序法、法律冲突、时效性等问题，上报农业农村部以供研究和参考，配合市人大对农业农村委开展立法重大问题研究、研讨交流、立法调研等。</w:t>
      </w:r>
    </w:p>
    <w:p>
      <w:pPr>
        <w:pStyle w:val="11"/>
        <w:keepNext w:val="0"/>
        <w:keepLines w:val="0"/>
        <w:pageBreakBefore w:val="0"/>
        <w:widowControl w:val="0"/>
        <w:kinsoku/>
        <w:wordWrap/>
        <w:overflowPunct/>
        <w:topLinePunct w:val="0"/>
        <w:autoSpaceDE/>
        <w:autoSpaceDN/>
        <w:bidi w:val="0"/>
        <w:adjustRightInd/>
        <w:snapToGrid/>
        <w:ind w:firstLine="643" w:firstLineChars="200"/>
        <w:textAlignment w:val="auto"/>
        <w:rPr>
          <w:rStyle w:val="7"/>
          <w:rFonts w:hint="eastAsia" w:ascii="楷体" w:hAnsi="楷体" w:eastAsia="楷体" w:cs="楷体"/>
          <w:b/>
          <w:bCs/>
          <w:sz w:val="32"/>
          <w:szCs w:val="32"/>
          <w:highlight w:val="yellow"/>
        </w:rPr>
      </w:pPr>
      <w:r>
        <w:rPr>
          <w:rStyle w:val="7"/>
          <w:rFonts w:hint="eastAsia" w:ascii="楷体" w:hAnsi="楷体" w:eastAsia="楷体" w:cs="楷体"/>
          <w:b/>
          <w:bCs/>
          <w:sz w:val="32"/>
          <w:szCs w:val="32"/>
          <w:highlight w:val="yellow"/>
          <w:lang w:val="en-US" w:eastAsia="zh-CN"/>
        </w:rPr>
        <w:t>4、</w:t>
      </w:r>
      <w:r>
        <w:rPr>
          <w:rStyle w:val="7"/>
          <w:rFonts w:hint="eastAsia" w:ascii="楷体" w:hAnsi="楷体" w:eastAsia="楷体" w:cs="楷体"/>
          <w:b/>
          <w:bCs/>
          <w:sz w:val="32"/>
          <w:szCs w:val="32"/>
          <w:highlight w:val="yellow"/>
        </w:rPr>
        <w:t>政策赋能，完善考核奖励机制</w:t>
      </w:r>
    </w:p>
    <w:p>
      <w:pPr>
        <w:pStyle w:val="11"/>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 w:hAnsi="仿宋" w:eastAsia="仿宋" w:cs="仿宋"/>
          <w:sz w:val="32"/>
          <w:szCs w:val="32"/>
          <w:highlight w:val="yellow"/>
        </w:rPr>
      </w:pPr>
      <w:r>
        <w:rPr>
          <w:rStyle w:val="7"/>
          <w:rFonts w:hint="eastAsia" w:ascii="仿宋" w:hAnsi="仿宋" w:eastAsia="仿宋" w:cs="仿宋"/>
          <w:sz w:val="32"/>
          <w:szCs w:val="32"/>
          <w:highlight w:val="yellow"/>
        </w:rPr>
        <w:t>可以从不同岗位的角度进行考评，通过量化指标对每个岗位的任职情况从勤、廉、能、绩等角度打分，考评结果每个季度及年度进行公示，并与奖励、晋升、调岗等紧密挂钩；外勤人员给予适当的补贴，从而调动积极性。</w:t>
      </w:r>
    </w:p>
    <w:p>
      <w:pPr>
        <w:pStyle w:val="11"/>
        <w:keepNext w:val="0"/>
        <w:keepLines w:val="0"/>
        <w:pageBreakBefore w:val="0"/>
        <w:widowControl w:val="0"/>
        <w:kinsoku/>
        <w:wordWrap/>
        <w:overflowPunct/>
        <w:topLinePunct w:val="0"/>
        <w:autoSpaceDE/>
        <w:autoSpaceDN/>
        <w:bidi w:val="0"/>
        <w:adjustRightInd/>
        <w:snapToGrid/>
        <w:ind w:firstLine="643" w:firstLineChars="200"/>
        <w:textAlignment w:val="auto"/>
        <w:rPr>
          <w:rStyle w:val="7"/>
          <w:rFonts w:hint="eastAsia" w:ascii="楷体" w:hAnsi="楷体" w:eastAsia="楷体" w:cs="楷体"/>
          <w:b/>
          <w:bCs/>
          <w:sz w:val="32"/>
          <w:szCs w:val="32"/>
        </w:rPr>
      </w:pPr>
      <w:r>
        <w:rPr>
          <w:rStyle w:val="7"/>
          <w:rFonts w:hint="eastAsia" w:ascii="楷体" w:hAnsi="楷体" w:eastAsia="楷体" w:cs="楷体"/>
          <w:b/>
          <w:bCs/>
          <w:sz w:val="32"/>
          <w:szCs w:val="32"/>
          <w:lang w:val="en-US" w:eastAsia="zh-CN"/>
        </w:rPr>
        <w:t>5、</w:t>
      </w:r>
      <w:r>
        <w:rPr>
          <w:rStyle w:val="7"/>
          <w:rFonts w:hint="eastAsia" w:ascii="楷体" w:hAnsi="楷体" w:eastAsia="楷体" w:cs="楷体"/>
          <w:b/>
          <w:bCs/>
          <w:sz w:val="32"/>
          <w:szCs w:val="32"/>
        </w:rPr>
        <w:t>培养与乡振兴相适应的新型法治人才</w:t>
      </w:r>
    </w:p>
    <w:p>
      <w:pPr>
        <w:pStyle w:val="11"/>
        <w:keepNext w:val="0"/>
        <w:keepLines w:val="0"/>
        <w:pageBreakBefore w:val="0"/>
        <w:widowControl w:val="0"/>
        <w:kinsoku/>
        <w:wordWrap/>
        <w:overflowPunct/>
        <w:topLinePunct w:val="0"/>
        <w:autoSpaceDE/>
        <w:autoSpaceDN/>
        <w:bidi w:val="0"/>
        <w:adjustRightInd/>
        <w:snapToGrid/>
        <w:ind w:firstLine="643" w:firstLineChars="200"/>
        <w:textAlignment w:val="auto"/>
        <w:rPr>
          <w:rStyle w:val="7"/>
          <w:rFonts w:hint="eastAsia" w:ascii="仿宋" w:hAnsi="仿宋" w:eastAsia="仿宋" w:cs="仿宋"/>
          <w:b/>
          <w:bCs/>
          <w:sz w:val="32"/>
          <w:szCs w:val="32"/>
        </w:rPr>
      </w:pPr>
      <w:r>
        <w:rPr>
          <w:rStyle w:val="7"/>
          <w:rFonts w:hint="eastAsia" w:ascii="仿宋" w:hAnsi="仿宋" w:eastAsia="仿宋" w:cs="仿宋"/>
          <w:b/>
          <w:bCs/>
          <w:sz w:val="32"/>
          <w:szCs w:val="32"/>
          <w:lang w:eastAsia="zh-CN"/>
        </w:rPr>
        <w:t>（</w:t>
      </w:r>
      <w:r>
        <w:rPr>
          <w:rStyle w:val="7"/>
          <w:rFonts w:hint="eastAsia" w:ascii="仿宋" w:hAnsi="仿宋" w:eastAsia="仿宋" w:cs="仿宋"/>
          <w:b/>
          <w:bCs/>
          <w:sz w:val="32"/>
          <w:szCs w:val="32"/>
          <w:lang w:val="en-US" w:eastAsia="zh-CN"/>
        </w:rPr>
        <w:t>1）</w:t>
      </w:r>
      <w:r>
        <w:rPr>
          <w:rStyle w:val="7"/>
          <w:rFonts w:hint="eastAsia" w:ascii="仿宋" w:hAnsi="仿宋" w:eastAsia="仿宋" w:cs="仿宋"/>
          <w:b/>
          <w:bCs/>
          <w:sz w:val="32"/>
          <w:szCs w:val="32"/>
        </w:rPr>
        <w:t>要转变思想观念，改变原有的粗放式执法模式，对于新出现的事物、新模式等，要具有包容审慎的态度。</w:t>
      </w:r>
      <w:r>
        <w:rPr>
          <w:rStyle w:val="7"/>
          <w:rFonts w:hint="eastAsia" w:ascii="仿宋" w:hAnsi="仿宋" w:eastAsia="仿宋" w:cs="仿宋"/>
          <w:b/>
          <w:bCs/>
          <w:sz w:val="32"/>
          <w:szCs w:val="32"/>
          <w:lang w:eastAsia="zh-CN"/>
        </w:rPr>
        <w:t>（</w:t>
      </w:r>
      <w:r>
        <w:rPr>
          <w:rStyle w:val="7"/>
          <w:rFonts w:hint="eastAsia" w:ascii="仿宋" w:hAnsi="仿宋" w:eastAsia="仿宋" w:cs="仿宋"/>
          <w:b/>
          <w:bCs/>
          <w:sz w:val="32"/>
          <w:szCs w:val="32"/>
          <w:lang w:val="en-US" w:eastAsia="zh-CN"/>
        </w:rPr>
        <w:t>2）</w:t>
      </w:r>
      <w:r>
        <w:rPr>
          <w:rStyle w:val="7"/>
          <w:rFonts w:hint="eastAsia" w:ascii="仿宋" w:hAnsi="仿宋" w:eastAsia="仿宋" w:cs="仿宋"/>
          <w:b/>
          <w:bCs/>
          <w:sz w:val="32"/>
          <w:szCs w:val="32"/>
        </w:rPr>
        <w:t>培育专业法律宣讲人才，普及法律知识，从而促进乡村振兴。</w:t>
      </w: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Webdings">
    <w:panose1 w:val="05030102010509060703"/>
    <w:charset w:val="02"/>
    <w:family w:val="roman"/>
    <w:pitch w:val="default"/>
    <w:sig w:usb0="00000000" w:usb1="00000000" w:usb2="00000000" w:usb3="00000000" w:csb0="8000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center"/>
      <w:rPr>
        <w:sz w:val="28"/>
        <w:szCs w:val="28"/>
      </w:rPr>
    </w:pPr>
    <w:r>
      <w:rPr>
        <w:rFonts w:hint="eastAsia"/>
        <w:sz w:val="28"/>
        <w:szCs w:val="28"/>
      </w:rPr>
      <w:t>第</w:t>
    </w:r>
    <w:r>
      <w:rPr>
        <w:b/>
        <w:sz w:val="28"/>
        <w:szCs w:val="28"/>
      </w:rPr>
      <w:fldChar w:fldCharType="begin"/>
    </w:r>
    <w:r>
      <w:rPr>
        <w:b/>
        <w:sz w:val="28"/>
        <w:szCs w:val="28"/>
      </w:rPr>
      <w:instrText xml:space="preserve">PAGE</w:instrText>
    </w:r>
    <w:r>
      <w:rPr>
        <w:b/>
        <w:sz w:val="28"/>
        <w:szCs w:val="28"/>
      </w:rPr>
      <w:fldChar w:fldCharType="separate"/>
    </w:r>
    <w:r>
      <w:rPr>
        <w:b/>
        <w:sz w:val="28"/>
        <w:szCs w:val="28"/>
      </w:rPr>
      <w:t>1</w:t>
    </w:r>
    <w:r>
      <w:rPr>
        <w:b/>
        <w:sz w:val="28"/>
        <w:szCs w:val="28"/>
      </w:rPr>
      <w:fldChar w:fldCharType="end"/>
    </w:r>
    <w:r>
      <w:rPr>
        <w:rFonts w:hint="eastAsia"/>
        <w:b/>
        <w:sz w:val="28"/>
        <w:szCs w:val="28"/>
      </w:rPr>
      <w:t>页</w:t>
    </w:r>
    <w:r>
      <w:rPr>
        <w:sz w:val="28"/>
        <w:szCs w:val="28"/>
        <w:lang w:val="zh-CN"/>
      </w:rPr>
      <w:t xml:space="preserve"> / </w:t>
    </w:r>
    <w:r>
      <w:rPr>
        <w:rFonts w:hint="eastAsia"/>
        <w:sz w:val="28"/>
        <w:szCs w:val="28"/>
        <w:lang w:val="zh-CN"/>
      </w:rPr>
      <w:t>共</w:t>
    </w:r>
    <w:r>
      <w:rPr>
        <w:b/>
        <w:sz w:val="28"/>
        <w:szCs w:val="28"/>
      </w:rPr>
      <w:fldChar w:fldCharType="begin"/>
    </w:r>
    <w:r>
      <w:rPr>
        <w:b/>
        <w:sz w:val="28"/>
        <w:szCs w:val="28"/>
      </w:rPr>
      <w:instrText xml:space="preserve">NUMPAGES</w:instrText>
    </w:r>
    <w:r>
      <w:rPr>
        <w:b/>
        <w:sz w:val="28"/>
        <w:szCs w:val="28"/>
      </w:rPr>
      <w:fldChar w:fldCharType="separate"/>
    </w:r>
    <w:r>
      <w:rPr>
        <w:b/>
        <w:sz w:val="28"/>
        <w:szCs w:val="28"/>
      </w:rPr>
      <w:t>2</w:t>
    </w:r>
    <w:r>
      <w:rPr>
        <w:b/>
        <w:sz w:val="28"/>
        <w:szCs w:val="28"/>
      </w:rPr>
      <w:fldChar w:fldCharType="end"/>
    </w:r>
    <w:r>
      <w:rPr>
        <w:rFonts w:hint="eastAsia"/>
        <w:sz w:val="28"/>
        <w:szCs w:val="28"/>
      </w:rPr>
      <w:t>页</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jc w:val="right"/>
      <w:rPr>
        <w:color w:val="008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70"/>
  <w:doNotDisplayPageBoundaries w:val="1"/>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YzNiNmU3ODBhNjNmMzM1ZWY3YmI4MzliOTY3NGMxNzMifQ=="/>
  </w:docVars>
  <w:rsids>
    <w:rsidRoot w:val="00000000"/>
    <w:rsid w:val="2CF12C48"/>
    <w:rsid w:val="5F9D3FFA"/>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iPriority="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semiHidden/>
    <w:qFormat/>
    <w:uiPriority w:val="0"/>
    <w:rPr>
      <w:sz w:val="18"/>
      <w:szCs w:val="18"/>
    </w:rPr>
  </w:style>
  <w:style w:type="paragraph" w:styleId="3">
    <w:name w:val="footer"/>
    <w:basedOn w:val="1"/>
    <w:link w:val="9"/>
    <w:qFormat/>
    <w:uiPriority w:val="99"/>
    <w:pPr>
      <w:tabs>
        <w:tab w:val="center" w:pos="4153"/>
        <w:tab w:val="right" w:pos="8306"/>
      </w:tabs>
      <w:snapToGrid w:val="0"/>
      <w:jc w:val="left"/>
    </w:pPr>
    <w:rPr>
      <w:sz w:val="18"/>
      <w:szCs w:val="18"/>
    </w:rPr>
  </w:style>
  <w:style w:type="paragraph" w:styleId="4">
    <w:name w:val="header"/>
    <w:basedOn w:val="1"/>
    <w:link w:val="8"/>
    <w:qFormat/>
    <w:uiPriority w:val="0"/>
    <w:pPr>
      <w:pBdr>
        <w:bottom w:val="single" w:color="auto" w:sz="6" w:space="1"/>
      </w:pBdr>
      <w:tabs>
        <w:tab w:val="center" w:pos="4153"/>
        <w:tab w:val="right" w:pos="8306"/>
      </w:tabs>
      <w:snapToGrid w:val="0"/>
      <w:jc w:val="center"/>
    </w:pPr>
    <w:rPr>
      <w:sz w:val="18"/>
      <w:szCs w:val="18"/>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8">
    <w:name w:val="页眉 Char"/>
    <w:link w:val="4"/>
    <w:qFormat/>
    <w:uiPriority w:val="0"/>
    <w:rPr>
      <w:kern w:val="2"/>
      <w:sz w:val="18"/>
      <w:szCs w:val="18"/>
    </w:rPr>
  </w:style>
  <w:style w:type="character" w:customStyle="1" w:styleId="9">
    <w:name w:val="页脚 Char"/>
    <w:link w:val="3"/>
    <w:qFormat/>
    <w:uiPriority w:val="99"/>
    <w:rPr>
      <w:kern w:val="2"/>
      <w:sz w:val="18"/>
      <w:szCs w:val="18"/>
    </w:rPr>
  </w:style>
  <w:style w:type="paragraph" w:customStyle="1" w:styleId="10">
    <w:name w:val="Normal_0"/>
    <w:qFormat/>
    <w:uiPriority w:val="0"/>
    <w:rPr>
      <w:rFonts w:ascii="Times New Roman" w:hAnsi="Times New Roman" w:eastAsia="Times New Roman" w:cs="Times New Roman"/>
      <w:lang w:val="ru-RU" w:eastAsia="en-US" w:bidi="ar-SA"/>
    </w:rPr>
  </w:style>
  <w:style w:type="paragraph" w:customStyle="1" w:styleId="11">
    <w:name w:val="Normal_1"/>
    <w:qFormat/>
    <w:uiPriority w:val="0"/>
    <w:pPr>
      <w:widowControl w:val="0"/>
      <w:jc w:val="both"/>
    </w:pPr>
    <w:rPr>
      <w:rFonts w:ascii="Calibri" w:hAnsi="Calibri" w:eastAsia="宋体" w:cs="Times New Roman"/>
      <w:sz w:val="21"/>
      <w:szCs w:val="22"/>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SHZX</Company>
  <Pages>4</Pages>
  <Words>2026</Words>
  <Characters>2074</Characters>
  <Lines>2</Lines>
  <Paragraphs>1</Paragraphs>
  <TotalTime>11</TotalTime>
  <ScaleCrop>false</ScaleCrop>
  <LinksUpToDate>false</LinksUpToDate>
  <CharactersWithSpaces>2111</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2023-12-26T09:06:00Z</dcterms:created>
  <dc:creator>张丁</dc:creator>
  <cp:lastModifiedBy>严茂森</cp:lastModifiedBy>
  <cp:lastPrinted>2013-01-09T12:21:00Z</cp:lastPrinted>
  <dcterms:modified xsi:type="dcterms:W3CDTF">2024-05-30T02:46:55Z</dcterms:modified>
  <dc:title>中国人民政治协商会议上海市第十届委员会</dc:title>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CDF4E97C9C814676A55BA25686B1478E_12</vt:lpwstr>
  </property>
</Properties>
</file>