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64"/>
        </w:tabs>
        <w:adjustRightInd w:val="0"/>
        <w:snapToGrid w:val="0"/>
        <w:spacing w:before="65" w:beforeLines="20"/>
        <w:rPr>
          <w:color w:val="FF0000"/>
        </w:rPr>
      </w:pPr>
      <w:r>
        <w:rPr>
          <w:rFonts w:hint="eastAsia"/>
          <w:color w:val="FF0000"/>
        </w:rPr>
        <w:t>提案内容：</w:t>
      </w:r>
    </w:p>
    <w:p>
      <w:pPr>
        <w:spacing w:before="65"/>
        <w:jc w:val="center"/>
        <w:rPr>
          <w:rFonts w:ascii="黑体" w:hAnsi="黑体" w:eastAsia="黑体"/>
          <w:b/>
          <w:sz w:val="44"/>
          <w:szCs w:val="44"/>
        </w:rPr>
      </w:pPr>
      <w:bookmarkStart w:id="0" w:name="casetitle2"/>
      <w:r>
        <w:rPr>
          <w:rFonts w:ascii="黑体" w:hAnsi="黑体" w:eastAsia="黑体"/>
          <w:b/>
          <w:sz w:val="44"/>
          <w:szCs w:val="44"/>
        </w:rPr>
        <w:t>关于本市已围垦滩涂土地转化耕地利用，增强粮食安全保障的提案</w:t>
      </w:r>
      <w:bookmarkEnd w:id="0"/>
    </w:p>
    <w:p>
      <w:pPr>
        <w:spacing w:before="65"/>
        <w:jc w:val="center"/>
        <w:rPr>
          <w:rFonts w:ascii="黑体" w:hAnsi="黑体" w:eastAsia="黑体"/>
          <w:b/>
          <w:sz w:val="44"/>
          <w:szCs w:val="44"/>
        </w:rPr>
      </w:pPr>
    </w:p>
    <w:p>
      <w:pPr>
        <w:spacing w:before="65"/>
        <w:rPr>
          <w:rFonts w:ascii="黑体" w:hAnsi="黑体" w:eastAsia="黑体"/>
          <w:b/>
          <w:sz w:val="44"/>
          <w:szCs w:val="44"/>
        </w:rPr>
      </w:pPr>
    </w:p>
    <w:p>
      <w:pPr>
        <w:pStyle w:val="16"/>
        <w:rPr>
          <w:rStyle w:val="7"/>
          <w:rFonts w:ascii="Calibri" w:hAnsi="Calibri" w:eastAsia="宋体" w:cs="Times New Roman"/>
        </w:rPr>
      </w:pPr>
      <w:r>
        <w:rPr>
          <w:rStyle w:val="7"/>
          <w:rFonts w:ascii="宋体" w:hAnsi="宋体" w:eastAsia="宋体" w:cs="宋体"/>
          <w:b/>
          <w:color w:val="FF0000"/>
          <w:sz w:val="36"/>
        </w:rPr>
        <w:t>※背景情况※</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滩涂围垦是通过人工修筑堤坝、填埋土石方等工程措施将天然海域空间改变成陆地以拓展社会经济发展空间的人类活动，它是当前</w:t>
      </w:r>
      <w:bookmarkStart w:id="1" w:name="_GoBack"/>
      <w:bookmarkEnd w:id="1"/>
      <w:r>
        <w:rPr>
          <w:rStyle w:val="7"/>
          <w:rFonts w:hint="eastAsia" w:ascii="仿宋" w:hAnsi="仿宋" w:eastAsia="仿宋" w:cs="仿宋"/>
          <w:sz w:val="32"/>
          <w:szCs w:val="32"/>
        </w:rPr>
        <w:t>我国海岸开发利用的主要形式。近年来，国家级省市级政策导向文件频发，支持对滩涂资源的开发利用和粮食安全的稳产保供。</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上海对粮食安全有着十分迫切地需要，2022年上海粮食产量仅95.57万吨，自给率仅9.4%。滩涂用地转化耕地就是破题的路径之一。上海具有大量的滩涂资源，例如崇明是由泥沙堆积形成的岛屿，1950年至2020年已由600多平方公里增长到1200多平方公里，而且每年以150米左右的速度向东海扩张，每年增加的土地面积大约有5平方公里。目前“会生长的土地”滩涂用地尚未被有效地向耕地转化利用。</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ascii="Calibri" w:hAnsi="Calibri" w:eastAsia="宋体" w:cs="Times New Roman"/>
        </w:rPr>
      </w:pPr>
      <w:r>
        <w:rPr>
          <w:rStyle w:val="7"/>
          <w:rFonts w:ascii="宋体" w:hAnsi="宋体" w:eastAsia="宋体" w:cs="宋体"/>
          <w:b/>
          <w:color w:val="FF0000"/>
          <w:sz w:val="36"/>
        </w:rPr>
        <w:t>※问题及分析※</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lang w:val="en-US" w:eastAsia="zh-CN"/>
        </w:rPr>
        <w:t>1</w:t>
      </w:r>
      <w:r>
        <w:rPr>
          <w:rStyle w:val="7"/>
          <w:rFonts w:hint="eastAsia" w:ascii="楷体" w:hAnsi="楷体" w:eastAsia="楷体" w:cs="楷体"/>
          <w:b/>
          <w:bCs/>
          <w:sz w:val="32"/>
          <w:szCs w:val="32"/>
        </w:rPr>
        <w:t>、上海滩涂用地属地管辖权问题</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根据《上海市滩涂管理条例》规定本市滩涂属国家所有，上海的滩涂用地均归属上海市滩涂造地有限公司所有，是全市唯一以滩涂造地和土地整理为核心业务的建设管理型公司，专业承担本市滩涂资源开发项目的前期研究、造地工程建设、成陆土地开发整理等任务。在管辖权和开发权上，崇明和其他区并无直接管理关系，需要繁复的审批程序方可对滩涂用地进行后续开发利用，影响滩涂用地的效率。</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lang w:val="en-US" w:eastAsia="zh-CN"/>
        </w:rPr>
        <w:t>2</w:t>
      </w:r>
      <w:r>
        <w:rPr>
          <w:rStyle w:val="7"/>
          <w:rFonts w:hint="eastAsia" w:ascii="楷体" w:hAnsi="楷体" w:eastAsia="楷体" w:cs="楷体"/>
          <w:b/>
          <w:bCs/>
          <w:sz w:val="32"/>
          <w:szCs w:val="32"/>
        </w:rPr>
        <w:t>、滩涂用地转化耕地与生态保护存在矛盾</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滩涂因其天然形成的独特地理环境和状态，具有特殊的生态地位，滩涂用地的转化主要是直接被划归保护性湿地，或者是简单地转化为防风林或湿地公园，不会加以更大规模的投资去打造农业用地，因此，需要不断通过理论与实践的推进融合，寻找到保护生态环境与增加耕地面积粮食产量相平衡的科学之路。</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lang w:val="en-US" w:eastAsia="zh-CN"/>
        </w:rPr>
        <w:t>3</w:t>
      </w:r>
      <w:r>
        <w:rPr>
          <w:rStyle w:val="7"/>
          <w:rFonts w:hint="eastAsia" w:ascii="楷体" w:hAnsi="楷体" w:eastAsia="楷体" w:cs="楷体"/>
          <w:b/>
          <w:bCs/>
          <w:sz w:val="32"/>
          <w:szCs w:val="32"/>
        </w:rPr>
        <w:t>、滩涂用地转化耕地上的粮食保供产能低</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围垦滩涂转化农业用途的，一般农田、水系、路道和配套设施占有比例较高，农田耕地比例较低。滩涂普遍为盐碱地，缺乏针对性高产农业新品种，高标准设施农田比例处于低位水平，影响了粮食生产能力，必须从耕地质量上和种植技术上突破。</w:t>
      </w:r>
    </w:p>
    <w:p>
      <w:pPr>
        <w:pStyle w:val="16"/>
        <w:rPr>
          <w:rStyle w:val="7"/>
          <w:rFonts w:ascii="Calibri" w:hAnsi="Calibri" w:eastAsia="宋体" w:cs="Times New Roman"/>
        </w:rPr>
      </w:pPr>
      <w:r>
        <w:rPr>
          <w:rStyle w:val="7"/>
          <w:rFonts w:ascii="宋体" w:hAnsi="宋体" w:eastAsia="宋体" w:cs="宋体"/>
          <w:b/>
          <w:color w:val="FF0000"/>
          <w:sz w:val="36"/>
        </w:rPr>
        <w:t>――――――――――――――――――――――</w:t>
      </w:r>
    </w:p>
    <w:p>
      <w:pPr>
        <w:pStyle w:val="16"/>
        <w:rPr>
          <w:rStyle w:val="7"/>
          <w:rFonts w:ascii="Calibri" w:hAnsi="Calibri" w:eastAsia="宋体" w:cs="Times New Roman"/>
        </w:rPr>
      </w:pPr>
      <w:r>
        <w:rPr>
          <w:rStyle w:val="7"/>
          <w:rFonts w:ascii="宋体" w:hAnsi="宋体" w:eastAsia="宋体" w:cs="宋体"/>
          <w:b/>
          <w:color w:val="FF0000"/>
          <w:sz w:val="36"/>
        </w:rPr>
        <w:t>※建议※</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lang w:val="en-US" w:eastAsia="zh-CN"/>
        </w:rPr>
        <w:t>1</w:t>
      </w:r>
      <w:r>
        <w:rPr>
          <w:rStyle w:val="7"/>
          <w:rFonts w:hint="eastAsia" w:ascii="楷体" w:hAnsi="楷体" w:eastAsia="楷体" w:cs="楷体"/>
          <w:b/>
          <w:bCs/>
          <w:sz w:val="32"/>
          <w:szCs w:val="32"/>
        </w:rPr>
        <w:t>、政策逐级细化分解探索扶持滩涂转化新举措</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建议相关部门分别制定专项扶持政策，形成联动的政策体系和机制，由市农业农村委牵头，市水务局、市规资局等部门共同参与，依据各委局的行政职能和细分条线，从滩涂围垦投资、建设、运行等各方面提供细化分解政策，为已围垦滩涂耕地化利用提供精准政策扶持，同步匹配出台区级专项滩涂耕地化利用扶持政策，力推已围垦滩涂向耕地化利用的可行性。</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i w:val="0"/>
          <w:iCs w:val="0"/>
          <w:sz w:val="32"/>
          <w:szCs w:val="32"/>
        </w:rPr>
      </w:pPr>
      <w:r>
        <w:rPr>
          <w:rStyle w:val="7"/>
          <w:rFonts w:hint="eastAsia" w:ascii="楷体" w:hAnsi="楷体" w:eastAsia="楷体" w:cs="楷体"/>
          <w:b/>
          <w:bCs/>
          <w:i w:val="0"/>
          <w:iCs w:val="0"/>
          <w:sz w:val="32"/>
          <w:szCs w:val="32"/>
          <w:lang w:val="en-US" w:eastAsia="zh-CN"/>
        </w:rPr>
        <w:t>2</w:t>
      </w:r>
      <w:r>
        <w:rPr>
          <w:rStyle w:val="7"/>
          <w:rFonts w:hint="eastAsia" w:ascii="楷体" w:hAnsi="楷体" w:eastAsia="楷体" w:cs="楷体"/>
          <w:b/>
          <w:bCs/>
          <w:i w:val="0"/>
          <w:iCs w:val="0"/>
          <w:sz w:val="32"/>
          <w:szCs w:val="32"/>
        </w:rPr>
        <w:t>、精准生态红线管理，增强滩涂转化粮食供给能力</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仿宋" w:hAnsi="仿宋" w:eastAsia="仿宋" w:cs="仿宋"/>
          <w:sz w:val="32"/>
          <w:szCs w:val="32"/>
        </w:rPr>
      </w:pPr>
      <w:r>
        <w:rPr>
          <w:rStyle w:val="7"/>
          <w:rFonts w:hint="eastAsia" w:ascii="仿宋" w:hAnsi="仿宋" w:eastAsia="仿宋" w:cs="仿宋"/>
          <w:b/>
          <w:bCs/>
          <w:sz w:val="32"/>
          <w:szCs w:val="32"/>
          <w:lang w:eastAsia="zh-CN"/>
        </w:rPr>
        <w:t>（</w:t>
      </w:r>
      <w:r>
        <w:rPr>
          <w:rStyle w:val="7"/>
          <w:rFonts w:hint="eastAsia" w:ascii="仿宋" w:hAnsi="仿宋" w:eastAsia="仿宋" w:cs="仿宋"/>
          <w:b/>
          <w:bCs/>
          <w:sz w:val="32"/>
          <w:szCs w:val="32"/>
          <w:lang w:val="en-US" w:eastAsia="zh-CN"/>
        </w:rPr>
        <w:t>1）</w:t>
      </w:r>
      <w:r>
        <w:rPr>
          <w:rStyle w:val="7"/>
          <w:rFonts w:hint="eastAsia" w:ascii="仿宋" w:hAnsi="仿宋" w:eastAsia="仿宋" w:cs="仿宋"/>
          <w:b/>
          <w:bCs/>
          <w:sz w:val="32"/>
          <w:szCs w:val="32"/>
        </w:rPr>
        <w:t>严格执行生态保护规划，</w:t>
      </w:r>
      <w:r>
        <w:rPr>
          <w:rStyle w:val="7"/>
          <w:rFonts w:hint="eastAsia" w:ascii="仿宋" w:hAnsi="仿宋" w:eastAsia="仿宋" w:cs="仿宋"/>
          <w:sz w:val="32"/>
          <w:szCs w:val="32"/>
        </w:rPr>
        <w:t>实现生态红线精准管理和动态调整，保护滩涂湿地资源和生物多样性。在生态红线的框架下，科学划定滩涂用地转化农业用地区域和范围。</w:t>
      </w:r>
      <w:r>
        <w:rPr>
          <w:rStyle w:val="7"/>
          <w:rFonts w:hint="eastAsia" w:ascii="仿宋" w:hAnsi="仿宋" w:eastAsia="仿宋" w:cs="仿宋"/>
          <w:b/>
          <w:bCs/>
          <w:sz w:val="32"/>
          <w:szCs w:val="32"/>
          <w:lang w:eastAsia="zh-CN"/>
        </w:rPr>
        <w:t>（</w:t>
      </w:r>
      <w:r>
        <w:rPr>
          <w:rStyle w:val="7"/>
          <w:rFonts w:hint="eastAsia" w:ascii="仿宋" w:hAnsi="仿宋" w:eastAsia="仿宋" w:cs="仿宋"/>
          <w:b/>
          <w:bCs/>
          <w:sz w:val="32"/>
          <w:szCs w:val="32"/>
          <w:lang w:val="en-US" w:eastAsia="zh-CN"/>
        </w:rPr>
        <w:t>2）</w:t>
      </w:r>
      <w:r>
        <w:rPr>
          <w:rStyle w:val="7"/>
          <w:rFonts w:hint="eastAsia" w:ascii="仿宋" w:hAnsi="仿宋" w:eastAsia="仿宋" w:cs="仿宋"/>
          <w:b/>
          <w:bCs/>
          <w:sz w:val="32"/>
          <w:szCs w:val="32"/>
        </w:rPr>
        <w:t>围垦滩涂转化农业用途的，</w:t>
      </w:r>
      <w:r>
        <w:rPr>
          <w:rStyle w:val="7"/>
          <w:rFonts w:hint="eastAsia" w:ascii="仿宋" w:hAnsi="仿宋" w:eastAsia="仿宋" w:cs="仿宋"/>
          <w:sz w:val="32"/>
          <w:szCs w:val="32"/>
        </w:rPr>
        <w:t>应以耕地为主，耕地必须占总量的60%以上，其他一般农田、水系、路道和配套设施小于40%，防止用地转化的“非粮化”。</w:t>
      </w:r>
      <w:r>
        <w:rPr>
          <w:rStyle w:val="7"/>
          <w:rFonts w:hint="eastAsia" w:ascii="仿宋" w:hAnsi="仿宋" w:eastAsia="仿宋" w:cs="仿宋"/>
          <w:b/>
          <w:bCs/>
          <w:sz w:val="32"/>
          <w:szCs w:val="32"/>
          <w:lang w:eastAsia="zh-CN"/>
        </w:rPr>
        <w:t>（</w:t>
      </w:r>
      <w:r>
        <w:rPr>
          <w:rStyle w:val="7"/>
          <w:rFonts w:hint="eastAsia" w:ascii="仿宋" w:hAnsi="仿宋" w:eastAsia="仿宋" w:cs="仿宋"/>
          <w:b/>
          <w:bCs/>
          <w:sz w:val="32"/>
          <w:szCs w:val="32"/>
          <w:lang w:val="en-US" w:eastAsia="zh-CN"/>
        </w:rPr>
        <w:t>3）</w:t>
      </w:r>
      <w:r>
        <w:rPr>
          <w:rStyle w:val="7"/>
          <w:rFonts w:hint="eastAsia" w:ascii="仿宋" w:hAnsi="仿宋" w:eastAsia="仿宋" w:cs="仿宋"/>
          <w:b/>
          <w:bCs/>
          <w:sz w:val="32"/>
          <w:szCs w:val="32"/>
        </w:rPr>
        <w:t>加强海水稻、咸水稻等新品种研发。</w:t>
      </w:r>
      <w:r>
        <w:rPr>
          <w:rStyle w:val="7"/>
          <w:rFonts w:hint="eastAsia" w:ascii="仿宋" w:hAnsi="仿宋" w:eastAsia="仿宋" w:cs="仿宋"/>
          <w:sz w:val="32"/>
          <w:szCs w:val="32"/>
        </w:rPr>
        <w:t>要进一步研发耐盐碱水稻更新迭代，为滩涂用地转化的耕地提供更优质的水稻种源。</w:t>
      </w:r>
    </w:p>
    <w:p>
      <w:pPr>
        <w:pStyle w:val="16"/>
        <w:keepNext w:val="0"/>
        <w:keepLines w:val="0"/>
        <w:pageBreakBefore w:val="0"/>
        <w:widowControl w:val="0"/>
        <w:kinsoku/>
        <w:wordWrap/>
        <w:overflowPunct/>
        <w:topLinePunct w:val="0"/>
        <w:autoSpaceDE/>
        <w:autoSpaceDN/>
        <w:bidi w:val="0"/>
        <w:adjustRightInd/>
        <w:snapToGrid/>
        <w:ind w:firstLine="643" w:firstLineChars="200"/>
        <w:textAlignment w:val="auto"/>
        <w:rPr>
          <w:rStyle w:val="7"/>
          <w:rFonts w:hint="eastAsia" w:ascii="楷体" w:hAnsi="楷体" w:eastAsia="楷体" w:cs="楷体"/>
          <w:b/>
          <w:bCs/>
          <w:sz w:val="32"/>
          <w:szCs w:val="32"/>
        </w:rPr>
      </w:pPr>
      <w:r>
        <w:rPr>
          <w:rStyle w:val="7"/>
          <w:rFonts w:hint="eastAsia" w:ascii="楷体" w:hAnsi="楷体" w:eastAsia="楷体" w:cs="楷体"/>
          <w:b/>
          <w:bCs/>
          <w:sz w:val="32"/>
          <w:szCs w:val="32"/>
          <w:lang w:val="en-US" w:eastAsia="zh-CN"/>
        </w:rPr>
        <w:t>3</w:t>
      </w:r>
      <w:r>
        <w:rPr>
          <w:rStyle w:val="7"/>
          <w:rFonts w:hint="eastAsia" w:ascii="楷体" w:hAnsi="楷体" w:eastAsia="楷体" w:cs="楷体"/>
          <w:b/>
          <w:bCs/>
          <w:sz w:val="32"/>
          <w:szCs w:val="32"/>
        </w:rPr>
        <w:t>、试点崇明滩涂耕地转化打造粮食稳产保供新模板</w:t>
      </w:r>
    </w:p>
    <w:p>
      <w:pPr>
        <w:pStyle w:val="16"/>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 w:hAnsi="仿宋" w:eastAsia="仿宋" w:cs="仿宋"/>
          <w:sz w:val="32"/>
          <w:szCs w:val="32"/>
        </w:rPr>
      </w:pPr>
      <w:r>
        <w:rPr>
          <w:rStyle w:val="7"/>
          <w:rFonts w:hint="eastAsia" w:ascii="仿宋" w:hAnsi="仿宋" w:eastAsia="仿宋" w:cs="仿宋"/>
          <w:sz w:val="32"/>
          <w:szCs w:val="32"/>
        </w:rPr>
        <w:t>建议组建崇明区滩涂用地转化耕地领导小组和推动专班。一方面是调研崇明本岛已围垦滩涂资源和耕地情况。对现有滩涂资源进行归类整理，以及零星分布耕地分布情况，结合滩涂和耕地分布，对崇明围垦滩涂开发成耕地提出可行性研究报告；另一方面是试点启动崇明已围垦滩涂耕地转化。依托横沙新洲开发经验，边学习边实践，以横沙新洲模式为蓝本，试点推动崇明已围垦滩涂（北沿段），寻求市级政策支持，切实增加崇明耕地面积和耕地分布，高效推动崇明高标准农田和菜田，连片化规模化推进。</w:t>
      </w:r>
    </w:p>
    <w:sectPr>
      <w:headerReference r:id="rId3" w:type="default"/>
      <w:footerReference r:id="rId4"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第</w:t>
    </w:r>
    <w:r>
      <w:rPr>
        <w:b/>
        <w:sz w:val="28"/>
        <w:szCs w:val="28"/>
      </w:rPr>
      <w:fldChar w:fldCharType="begin"/>
    </w:r>
    <w:r>
      <w:rPr>
        <w:b/>
        <w:sz w:val="28"/>
        <w:szCs w:val="28"/>
      </w:rPr>
      <w:instrText xml:space="preserve">PAGE</w:instrText>
    </w:r>
    <w:r>
      <w:rPr>
        <w:b/>
        <w:sz w:val="28"/>
        <w:szCs w:val="28"/>
      </w:rPr>
      <w:fldChar w:fldCharType="separate"/>
    </w:r>
    <w:r>
      <w:rPr>
        <w:b/>
        <w:sz w:val="28"/>
        <w:szCs w:val="28"/>
      </w:rPr>
      <w:t>1</w:t>
    </w:r>
    <w:r>
      <w:rPr>
        <w:b/>
        <w:sz w:val="28"/>
        <w:szCs w:val="28"/>
      </w:rPr>
      <w:fldChar w:fldCharType="end"/>
    </w:r>
    <w:r>
      <w:rPr>
        <w:rFonts w:hint="eastAsia"/>
        <w:b/>
        <w:sz w:val="28"/>
        <w:szCs w:val="28"/>
      </w:rPr>
      <w:t>页</w:t>
    </w:r>
    <w:r>
      <w:rPr>
        <w:sz w:val="28"/>
        <w:szCs w:val="28"/>
        <w:lang w:val="zh-CN"/>
      </w:rPr>
      <w:t xml:space="preserve"> / </w:t>
    </w:r>
    <w:r>
      <w:rPr>
        <w:rFonts w:hint="eastAsia"/>
        <w:sz w:val="28"/>
        <w:szCs w:val="28"/>
        <w:lang w:val="zh-CN"/>
      </w:rPr>
      <w:t>共</w:t>
    </w:r>
    <w:r>
      <w:rPr>
        <w:b/>
        <w:sz w:val="28"/>
        <w:szCs w:val="28"/>
      </w:rPr>
      <w:fldChar w:fldCharType="begin"/>
    </w:r>
    <w:r>
      <w:rPr>
        <w:b/>
        <w:sz w:val="28"/>
        <w:szCs w:val="28"/>
      </w:rPr>
      <w:instrText xml:space="preserve">NUMPAGES</w:instrText>
    </w:r>
    <w:r>
      <w:rPr>
        <w:b/>
        <w:sz w:val="28"/>
        <w:szCs w:val="28"/>
      </w:rPr>
      <w:fldChar w:fldCharType="separate"/>
    </w:r>
    <w:r>
      <w:rPr>
        <w:b/>
        <w:sz w:val="28"/>
        <w:szCs w:val="28"/>
      </w:rPr>
      <w:t>2</w:t>
    </w:r>
    <w:r>
      <w:rPr>
        <w:b/>
        <w:sz w:val="28"/>
        <w:szCs w:val="28"/>
      </w:rPr>
      <w:fldChar w:fldCharType="end"/>
    </w:r>
    <w:r>
      <w:rPr>
        <w:rFonts w:hint="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NmU3ODBhNjNmMzM1ZWY3YmI4MzliOTY3NGMxNzMifQ=="/>
  </w:docVars>
  <w:rsids>
    <w:rsidRoot w:val="00000000"/>
    <w:rsid w:val="5F9431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pPr>
    <w:rPr>
      <w:rFonts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paragraph" w:customStyle="1" w:styleId="9">
    <w:name w:val="z-窗体顶端1"/>
    <w:basedOn w:val="1"/>
    <w:next w:val="1"/>
    <w:link w:val="10"/>
    <w:semiHidden/>
    <w:unhideWhenUsed/>
    <w:qFormat/>
    <w:uiPriority w:val="99"/>
    <w:pPr>
      <w:pBdr>
        <w:bottom w:val="single" w:color="auto" w:sz="6" w:space="1"/>
      </w:pBdr>
      <w:jc w:val="center"/>
    </w:pPr>
    <w:rPr>
      <w:rFonts w:ascii="Arial" w:hAnsi="Arial" w:cs="Times New Roman"/>
      <w:vanish/>
      <w:sz w:val="16"/>
      <w:szCs w:val="16"/>
    </w:rPr>
  </w:style>
  <w:style w:type="character" w:customStyle="1" w:styleId="10">
    <w:name w:val="z-窗体顶端 字符"/>
    <w:link w:val="9"/>
    <w:semiHidden/>
    <w:qFormat/>
    <w:uiPriority w:val="99"/>
    <w:rPr>
      <w:rFonts w:ascii="Arial" w:hAnsi="Arial" w:eastAsia="宋体" w:cs="Arial"/>
      <w:vanish/>
      <w:kern w:val="0"/>
      <w:sz w:val="16"/>
      <w:szCs w:val="16"/>
    </w:rPr>
  </w:style>
  <w:style w:type="paragraph" w:customStyle="1" w:styleId="11">
    <w:name w:val="z-窗体底端1"/>
    <w:basedOn w:val="1"/>
    <w:next w:val="1"/>
    <w:link w:val="12"/>
    <w:semiHidden/>
    <w:unhideWhenUsed/>
    <w:qFormat/>
    <w:uiPriority w:val="99"/>
    <w:pPr>
      <w:pBdr>
        <w:top w:val="single" w:color="auto" w:sz="6" w:space="1"/>
      </w:pBdr>
      <w:jc w:val="center"/>
    </w:pPr>
    <w:rPr>
      <w:rFonts w:ascii="Arial" w:hAnsi="Arial" w:cs="Times New Roman"/>
      <w:vanish/>
      <w:sz w:val="16"/>
      <w:szCs w:val="16"/>
    </w:rPr>
  </w:style>
  <w:style w:type="character" w:customStyle="1" w:styleId="12">
    <w:name w:val="z-窗体底端 字符"/>
    <w:link w:val="11"/>
    <w:semiHidden/>
    <w:qFormat/>
    <w:uiPriority w:val="99"/>
    <w:rPr>
      <w:rFonts w:ascii="Arial" w:hAnsi="Arial" w:eastAsia="宋体" w:cs="Arial"/>
      <w:vanish/>
      <w:kern w:val="0"/>
      <w:sz w:val="16"/>
      <w:szCs w:val="16"/>
    </w:rPr>
  </w:style>
  <w:style w:type="character" w:customStyle="1" w:styleId="13">
    <w:name w:val="页眉 字符"/>
    <w:link w:val="3"/>
    <w:qFormat/>
    <w:uiPriority w:val="99"/>
    <w:rPr>
      <w:rFonts w:ascii="宋体" w:hAnsi="宋体" w:cs="宋体"/>
      <w:sz w:val="18"/>
      <w:szCs w:val="18"/>
    </w:rPr>
  </w:style>
  <w:style w:type="character" w:customStyle="1" w:styleId="14">
    <w:name w:val="页脚 字符"/>
    <w:link w:val="2"/>
    <w:qFormat/>
    <w:uiPriority w:val="99"/>
    <w:rPr>
      <w:rFonts w:ascii="宋体" w:hAnsi="宋体" w:cs="宋体"/>
      <w:sz w:val="18"/>
      <w:szCs w:val="18"/>
    </w:rPr>
  </w:style>
  <w:style w:type="paragraph" w:customStyle="1" w:styleId="15">
    <w:name w:val="Normal_0"/>
    <w:qFormat/>
    <w:uiPriority w:val="0"/>
    <w:pPr>
      <w:widowControl w:val="0"/>
      <w:jc w:val="both"/>
    </w:pPr>
    <w:rPr>
      <w:rFonts w:asciiTheme="minorHAnsi" w:hAnsiTheme="minorHAnsi" w:eastAsiaTheme="minorEastAsia" w:cstheme="minorBidi"/>
      <w:sz w:val="21"/>
      <w:szCs w:val="22"/>
      <w:lang w:val="en-US" w:eastAsia="zh-CN" w:bidi="ar-SA"/>
    </w:rPr>
  </w:style>
  <w:style w:type="paragraph" w:customStyle="1" w:styleId="16">
    <w:name w:val="Normal_1"/>
    <w:qFormat/>
    <w:uiPriority w:val="0"/>
    <w:pPr>
      <w:widowControl w:val="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1779</Words>
  <Characters>1887</Characters>
  <Lines>3</Lines>
  <Paragraphs>1</Paragraphs>
  <TotalTime>58</TotalTime>
  <ScaleCrop>false</ScaleCrop>
  <LinksUpToDate>false</LinksUpToDate>
  <CharactersWithSpaces>1971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2021-04-01T05:38:00Z</dcterms:created>
  <dc:creator>2</dc:creator>
  <cp:lastModifiedBy>严茂森</cp:lastModifiedBy>
  <cp:lastPrinted>2023-12-26T01:02:00Z</cp:lastPrinted>
  <dcterms:modified xsi:type="dcterms:W3CDTF">2024-06-05T09:00:51Z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E3D15859C45D435E8C9E9BBA1930C628</vt:lpwstr>
  </property>
  <property fmtid="{D5CDD505-2E9C-101B-9397-08002B2CF9AE}" pid="3" name="KSOProductBuildVer">
    <vt:lpwstr>2052-12.1.0.16929</vt:lpwstr>
  </property>
</Properties>
</file>