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64"/>
        </w:tabs>
        <w:adjustRightInd w:val="0"/>
        <w:snapToGrid w:val="0"/>
        <w:spacing w:before="65" w:beforeLines="20"/>
      </w:pPr>
      <w:bookmarkStart w:id="1" w:name="_GoBack"/>
      <w:bookmarkEnd w:id="1"/>
      <w:r>
        <w:rPr>
          <w:rFonts w:hint="eastAsia"/>
          <w:color w:val="FF0000"/>
        </w:rPr>
        <w:t>提案内容：</w:t>
      </w:r>
    </w:p>
    <w:p>
      <w:pPr>
        <w:spacing w:before="65"/>
        <w:jc w:val="center"/>
        <w:rPr>
          <w:rFonts w:ascii="黑体" w:hAnsi="黑体" w:eastAsia="黑体"/>
          <w:b/>
          <w:sz w:val="44"/>
          <w:szCs w:val="44"/>
        </w:rPr>
      </w:pPr>
      <w:bookmarkStart w:id="0" w:name="casetitle2"/>
      <w:r>
        <w:rPr>
          <w:rFonts w:ascii="黑体" w:hAnsi="黑体" w:eastAsia="黑体"/>
          <w:b/>
          <w:sz w:val="44"/>
          <w:szCs w:val="44"/>
        </w:rPr>
        <w:t>关于发挥上海引领长三角生物天然气产业化发展的建议</w:t>
      </w:r>
      <w:bookmarkEnd w:id="0"/>
    </w:p>
    <w:p>
      <w:pPr>
        <w:spacing w:before="65"/>
        <w:jc w:val="center"/>
        <w:rPr>
          <w:rFonts w:ascii="黑体" w:hAnsi="黑体" w:eastAsia="黑体"/>
          <w:b/>
          <w:sz w:val="44"/>
          <w:szCs w:val="44"/>
        </w:rPr>
      </w:pPr>
    </w:p>
    <w:p>
      <w:pPr>
        <w:tabs>
          <w:tab w:val="right" w:pos="9332"/>
        </w:tabs>
        <w:spacing w:before="65" w:beforeLines="20"/>
        <w:rPr>
          <w:b/>
          <w:color w:val="FF0000"/>
          <w:sz w:val="36"/>
          <w:szCs w:val="36"/>
        </w:rPr>
      </w:pPr>
    </w:p>
    <w:p>
      <w:pPr>
        <w:pStyle w:val="15"/>
        <w:rPr>
          <w:rStyle w:val="7"/>
          <w:rFonts w:asciiTheme="minorHAnsi" w:hAnsiTheme="minorHAnsi" w:eastAsiaTheme="minorEastAsia" w:cstheme="minorBidi"/>
        </w:rPr>
      </w:pPr>
      <w:r>
        <w:rPr>
          <w:rStyle w:val="7"/>
          <w:rFonts w:ascii="宋体" w:hAnsi="宋体" w:eastAsia="宋体" w:cs="宋体"/>
          <w:b/>
          <w:color w:val="FF0000"/>
          <w:sz w:val="36"/>
        </w:rPr>
        <w:t>※背景情况※</w:t>
      </w:r>
    </w:p>
    <w:p>
      <w:pPr>
        <w:pStyle w:val="15"/>
        <w:keepNext w:val="0"/>
        <w:keepLines w:val="0"/>
        <w:pageBreakBefore w:val="0"/>
        <w:widowControl/>
        <w:kinsoku/>
        <w:wordWrap/>
        <w:overflowPunct/>
        <w:topLinePunct w:val="0"/>
        <w:autoSpaceDE/>
        <w:autoSpaceDN/>
        <w:bidi w:val="0"/>
        <w:adjustRightInd/>
        <w:snapToGrid/>
        <w:ind w:firstLine="640" w:firstLineChars="200"/>
        <w:jc w:val="both"/>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生物天然气涉及能源安全（城乡燃气）、双碳事业、乡村振兴、自然资源开发、生态环境保护、碳基新材料等多个领域，是具有重要战略意义的新兴产业。围绕生物天然气的产业开发、装备供给、过程服务体和产品营销等环节构成的产业链正在逐步形成，打造现代化产业体系是支撑生物天然气产业化健康发展的基础和条件。</w:t>
      </w:r>
    </w:p>
    <w:p>
      <w:pPr>
        <w:pStyle w:val="15"/>
        <w:keepNext w:val="0"/>
        <w:keepLines w:val="0"/>
        <w:pageBreakBefore w:val="0"/>
        <w:widowControl/>
        <w:kinsoku/>
        <w:wordWrap/>
        <w:overflowPunct/>
        <w:topLinePunct w:val="0"/>
        <w:autoSpaceDE/>
        <w:autoSpaceDN/>
        <w:bidi w:val="0"/>
        <w:adjustRightInd/>
        <w:snapToGrid/>
        <w:ind w:firstLine="640" w:firstLineChars="200"/>
        <w:jc w:val="both"/>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2016年以来，习近平总书记多次对发展生物天然气作出重要指示。与此同时，党和国家已出台了一系列政策和指导意见，从顶层设计到产业落地，全面推进生物天然气的发展，规划到2030年产能超过200亿立方米，促使生物天然气成为新的战略性新兴产业。预计整个市场规模将达万亿元以上，引领天然气产业又一片“蓝海”。</w:t>
      </w:r>
    </w:p>
    <w:p>
      <w:pPr>
        <w:pStyle w:val="15"/>
        <w:rPr>
          <w:rStyle w:val="7"/>
          <w:rFonts w:asciiTheme="minorHAnsi" w:hAnsiTheme="minorHAnsi" w:eastAsiaTheme="minorEastAsia" w:cstheme="minorBidi"/>
        </w:rPr>
      </w:pPr>
      <w:r>
        <w:rPr>
          <w:rStyle w:val="7"/>
          <w:rFonts w:ascii="宋体" w:hAnsi="宋体" w:eastAsia="宋体" w:cs="宋体"/>
          <w:b/>
          <w:color w:val="FF0000"/>
          <w:sz w:val="36"/>
        </w:rPr>
        <w:t>――――――――――――――――――――――</w:t>
      </w:r>
    </w:p>
    <w:p>
      <w:pPr>
        <w:pStyle w:val="15"/>
        <w:rPr>
          <w:rStyle w:val="7"/>
          <w:rFonts w:asciiTheme="minorHAnsi" w:hAnsiTheme="minorHAnsi" w:eastAsiaTheme="minorEastAsia" w:cstheme="minorBidi"/>
        </w:rPr>
      </w:pPr>
      <w:r>
        <w:rPr>
          <w:rStyle w:val="7"/>
          <w:rFonts w:ascii="宋体" w:hAnsi="宋体" w:eastAsia="宋体" w:cs="宋体"/>
          <w:b/>
          <w:color w:val="FF0000"/>
          <w:sz w:val="36"/>
        </w:rPr>
        <w:t>※问题及分析※</w:t>
      </w:r>
    </w:p>
    <w:p>
      <w:pPr>
        <w:pStyle w:val="15"/>
        <w:keepNext w:val="0"/>
        <w:keepLines w:val="0"/>
        <w:pageBreakBefore w:val="0"/>
        <w:widowControl/>
        <w:kinsoku/>
        <w:wordWrap/>
        <w:overflowPunct/>
        <w:topLinePunct w:val="0"/>
        <w:autoSpaceDE/>
        <w:autoSpaceDN/>
        <w:bidi w:val="0"/>
        <w:adjustRightInd/>
        <w:snapToGrid/>
        <w:ind w:firstLine="640" w:firstLineChars="200"/>
        <w:jc w:val="both"/>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近年来，欧洲和北美都在加速发展生物天然气，国际能源巨头也纷纷加快进入生物天然气领域。沪上高校与相关企业积极开展政产学研合作，抓住上海市崇明生态岛建设的政策契机，从2009年到2017年，连续8年对崇明畜禽粪污开展专项治理工作，截止到2016年年底，已在上海崇明成功建设并托管运营生物燃气工程项目56个，确立了中国唯一生物燃气区域工程运营商的行业领先地位，崇明的业绩受到上海市和国家各部委的充分肯定，被农业部称为“崇明模式”。崇明项目解决了农业废弃物处理，民生能源保障，实现了变废为宝的循环经济，支撑了崇明世界级生态岛建设。</w:t>
      </w:r>
    </w:p>
    <w:p>
      <w:pPr>
        <w:pStyle w:val="15"/>
        <w:keepNext w:val="0"/>
        <w:keepLines w:val="0"/>
        <w:pageBreakBefore w:val="0"/>
        <w:widowControl/>
        <w:kinsoku/>
        <w:wordWrap/>
        <w:overflowPunct/>
        <w:topLinePunct w:val="0"/>
        <w:autoSpaceDE/>
        <w:autoSpaceDN/>
        <w:bidi w:val="0"/>
        <w:adjustRightInd/>
        <w:snapToGrid/>
        <w:ind w:firstLine="640" w:firstLineChars="200"/>
        <w:jc w:val="both"/>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2016年底，紧随国家对环保大环境的要求细化，相关高校与企业又共同走向长三角，在安徽阜南县全国首创了“站田式”全域化、全量化、全循环农业废弃物处理新模式，打造出一条符合中国国情的县域有机废弃物生物天然气资源化新思路，被农业部称为“阜南模式”。</w:t>
      </w:r>
    </w:p>
    <w:p>
      <w:pPr>
        <w:pStyle w:val="15"/>
        <w:keepNext w:val="0"/>
        <w:keepLines w:val="0"/>
        <w:pageBreakBefore w:val="0"/>
        <w:widowControl/>
        <w:kinsoku/>
        <w:wordWrap/>
        <w:overflowPunct/>
        <w:topLinePunct w:val="0"/>
        <w:autoSpaceDE/>
        <w:autoSpaceDN/>
        <w:bidi w:val="0"/>
        <w:adjustRightInd/>
        <w:snapToGrid/>
        <w:ind w:firstLine="640" w:firstLineChars="200"/>
        <w:jc w:val="both"/>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生物天然气的“崇明模式”到“阜南模式”已走出了一条创新研发在上海，产业化辐射到长三角的路径，真正发挥出上海在长三角的引领、龙头作用，但是在模式推广和示范应用等方面尚没有提升到一定战略层面。</w:t>
      </w:r>
    </w:p>
    <w:p>
      <w:pPr>
        <w:pStyle w:val="15"/>
        <w:rPr>
          <w:rStyle w:val="7"/>
          <w:rFonts w:asciiTheme="minorHAnsi" w:hAnsiTheme="minorHAnsi" w:eastAsiaTheme="minorEastAsia" w:cstheme="minorBidi"/>
        </w:rPr>
      </w:pPr>
      <w:r>
        <w:rPr>
          <w:rStyle w:val="7"/>
          <w:rFonts w:ascii="宋体" w:hAnsi="宋体" w:eastAsia="宋体" w:cs="宋体"/>
          <w:b/>
          <w:color w:val="FF0000"/>
          <w:sz w:val="36"/>
        </w:rPr>
        <w:t>――――――――――――――――――――――</w:t>
      </w:r>
    </w:p>
    <w:p>
      <w:pPr>
        <w:pStyle w:val="15"/>
        <w:rPr>
          <w:rStyle w:val="7"/>
          <w:rFonts w:asciiTheme="minorHAnsi" w:hAnsiTheme="minorHAnsi" w:eastAsiaTheme="minorEastAsia" w:cstheme="minorBidi"/>
        </w:rPr>
      </w:pPr>
      <w:r>
        <w:rPr>
          <w:rStyle w:val="7"/>
          <w:rFonts w:ascii="宋体" w:hAnsi="宋体" w:eastAsia="宋体" w:cs="宋体"/>
          <w:b/>
          <w:color w:val="FF0000"/>
          <w:sz w:val="36"/>
        </w:rPr>
        <w:t>※建议※</w:t>
      </w:r>
    </w:p>
    <w:p>
      <w:pPr>
        <w:pStyle w:val="15"/>
        <w:keepNext w:val="0"/>
        <w:keepLines w:val="0"/>
        <w:pageBreakBefore w:val="0"/>
        <w:widowControl/>
        <w:kinsoku/>
        <w:wordWrap/>
        <w:overflowPunct/>
        <w:topLinePunct w:val="0"/>
        <w:autoSpaceDE/>
        <w:autoSpaceDN/>
        <w:bidi w:val="0"/>
        <w:adjustRightInd/>
        <w:snapToGrid/>
        <w:ind w:firstLine="643" w:firstLineChars="200"/>
        <w:jc w:val="both"/>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1</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健全工作机制，规划成立上海生物天然气战略性新兴产业发展领导小组。</w:t>
      </w:r>
      <w:r>
        <w:rPr>
          <w:rStyle w:val="7"/>
          <w:rFonts w:hint="eastAsia" w:ascii="仿宋_GB2312" w:hAnsi="仿宋_GB2312" w:eastAsia="仿宋_GB2312" w:cs="仿宋_GB2312"/>
          <w:sz w:val="32"/>
          <w:szCs w:val="32"/>
        </w:rPr>
        <w:t>由相关区域、高校和企业组成产业化领导小组及工作小组，研究提出生物天然气产业化发展的重大政策和改革建议，制定发展规划和行动方案，组织协调、引进重大产业链项目，形成发展合力，培育、营造万亿级生物天然气战略性新兴产业生态。</w:t>
      </w:r>
    </w:p>
    <w:p>
      <w:pPr>
        <w:pStyle w:val="15"/>
        <w:keepNext w:val="0"/>
        <w:keepLines w:val="0"/>
        <w:pageBreakBefore w:val="0"/>
        <w:widowControl/>
        <w:kinsoku/>
        <w:wordWrap/>
        <w:overflowPunct/>
        <w:topLinePunct w:val="0"/>
        <w:autoSpaceDE/>
        <w:autoSpaceDN/>
        <w:bidi w:val="0"/>
        <w:adjustRightInd/>
        <w:snapToGrid/>
        <w:ind w:firstLine="643" w:firstLineChars="200"/>
        <w:jc w:val="both"/>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2</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招引和培育关联产业，营造长三角生物天然气产业生态圈。</w:t>
      </w:r>
      <w:r>
        <w:rPr>
          <w:rStyle w:val="7"/>
          <w:rFonts w:hint="eastAsia" w:ascii="仿宋_GB2312" w:hAnsi="仿宋_GB2312" w:eastAsia="仿宋_GB2312" w:cs="仿宋_GB2312"/>
          <w:sz w:val="32"/>
          <w:szCs w:val="32"/>
        </w:rPr>
        <w:t>聚集国内外高端政产学研人才，通过联合相关科研院所和企业共建上海生物天然气创新中心，围绕生物天然气研发、成果转化、产业化和产业链配套协作、资源共享、市场开拓、金融服务等方向开展合作。牵头成立长三角生物天然气创新共同体，营造长三角生物天然气领域大中小企业融通、政产学研金服用七位一体的创新生态。</w:t>
      </w:r>
    </w:p>
    <w:p>
      <w:pPr>
        <w:pStyle w:val="15"/>
        <w:keepNext w:val="0"/>
        <w:keepLines w:val="0"/>
        <w:pageBreakBefore w:val="0"/>
        <w:widowControl/>
        <w:kinsoku/>
        <w:wordWrap/>
        <w:overflowPunct/>
        <w:topLinePunct w:val="0"/>
        <w:autoSpaceDE/>
        <w:autoSpaceDN/>
        <w:bidi w:val="0"/>
        <w:adjustRightInd/>
        <w:snapToGrid/>
        <w:ind w:firstLine="643" w:firstLineChars="200"/>
        <w:jc w:val="both"/>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3</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探索绿色金融新工具，助力双碳和生物天然气产业化目标。</w:t>
      </w:r>
      <w:r>
        <w:rPr>
          <w:rStyle w:val="7"/>
          <w:rFonts w:hint="eastAsia" w:ascii="仿宋_GB2312" w:hAnsi="仿宋_GB2312" w:eastAsia="仿宋_GB2312" w:cs="仿宋_GB2312"/>
          <w:sz w:val="32"/>
          <w:szCs w:val="32"/>
        </w:rPr>
        <w:t>充分发挥上海绿色金融优势，合理利用中国宝武总规模500亿元碳中和主题基金以及全国碳市场交易中心，通过绿色贷款、绿色债券等创新产品，加速“绿色生物天然气战略性新兴产业”的快速发展，全方位推动双碳和生物天然气产业化发展目标。</w:t>
      </w:r>
    </w:p>
    <w:p>
      <w:pPr>
        <w:pStyle w:val="15"/>
        <w:keepNext w:val="0"/>
        <w:keepLines w:val="0"/>
        <w:pageBreakBefore w:val="0"/>
        <w:widowControl/>
        <w:kinsoku/>
        <w:wordWrap/>
        <w:overflowPunct/>
        <w:topLinePunct w:val="0"/>
        <w:autoSpaceDE/>
        <w:autoSpaceDN/>
        <w:bidi w:val="0"/>
        <w:adjustRightInd/>
        <w:snapToGrid/>
        <w:ind w:firstLine="643" w:firstLineChars="200"/>
        <w:jc w:val="both"/>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4</w:t>
      </w:r>
      <w:r>
        <w:rPr>
          <w:rStyle w:val="7"/>
          <w:rFonts w:hint="eastAsia" w:ascii="楷体_GB2312" w:hAnsi="楷体_GB2312" w:eastAsia="楷体_GB2312" w:cs="楷体_GB2312"/>
          <w:b/>
          <w:bCs/>
          <w:sz w:val="32"/>
          <w:szCs w:val="32"/>
          <w:lang w:eastAsia="zh-CN"/>
        </w:rPr>
        <w:t>、</w:t>
      </w:r>
      <w:r>
        <w:rPr>
          <w:rStyle w:val="7"/>
          <w:rFonts w:hint="eastAsia" w:ascii="楷体_GB2312" w:hAnsi="楷体_GB2312" w:eastAsia="楷体_GB2312" w:cs="楷体_GB2312"/>
          <w:b/>
          <w:bCs/>
          <w:sz w:val="32"/>
          <w:szCs w:val="32"/>
        </w:rPr>
        <w:t>瞄准新赛道，促进生物天然气行业健康规范发展。</w:t>
      </w:r>
      <w:r>
        <w:rPr>
          <w:rStyle w:val="7"/>
          <w:rFonts w:hint="eastAsia" w:ascii="仿宋_GB2312" w:hAnsi="仿宋_GB2312" w:eastAsia="仿宋_GB2312" w:cs="仿宋_GB2312"/>
          <w:sz w:val="32"/>
          <w:szCs w:val="32"/>
        </w:rPr>
        <w:t>推动生物天然气产业化项目纳入“上海市瞄准新赛道促进绿色低碳产业发展行动”。依托长三角一体化、长江经济带、一带一路等国家战略，利用国家和上海节能减排、促进产业高质量发展、战略性新兴产业等专项资金，推进生物天然气产业化、示范化项目与国内外相关国家和地区在绿色低碳发展方面的协同创新、应用推广和合作交流。</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dings">
    <w:panose1 w:val="05030102010509060703"/>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iNmU3ODBhNjNmMzM1ZWY3YmI4MzliOTY3NGMxNzMifQ=="/>
  </w:docVars>
  <w:rsids>
    <w:rsidRoot w:val="00000000"/>
    <w:rsid w:val="4BAE0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HTML Top of Form"/>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HTML Bottom of Form"/>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1864</Words>
  <Characters>1963</Characters>
  <Lines>5</Lines>
  <Paragraphs>1</Paragraphs>
  <TotalTime>70</TotalTime>
  <ScaleCrop>false</ScaleCrop>
  <LinksUpToDate>false</LinksUpToDate>
  <CharactersWithSpaces>2088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2021-04-01T05:38:00Z</dcterms:created>
  <dc:creator>2</dc:creator>
  <cp:lastModifiedBy>yms</cp:lastModifiedBy>
  <dcterms:modified xsi:type="dcterms:W3CDTF">2023-06-05T06:12:30Z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437D435822354E58A4B6DED69E957BA6</vt:lpwstr>
  </property>
</Properties>
</file>