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C80B24">
      <w:pPr>
        <w:rPr>
          <w:rFonts w:hint="eastAsia" w:ascii="黑体" w:hAnsi="黑体" w:eastAsia="黑体" w:cs="仿宋"/>
          <w:spacing w:val="-5"/>
          <w:position w:val="14"/>
          <w:sz w:val="28"/>
          <w:szCs w:val="28"/>
        </w:rPr>
      </w:pPr>
      <w:bookmarkStart w:id="0" w:name="_GoBack"/>
      <w:bookmarkEnd w:id="0"/>
      <w:r>
        <w:rPr>
          <w:rFonts w:hint="eastAsia" w:ascii="黑体" w:hAnsi="黑体" w:eastAsia="黑体" w:cs="仿宋"/>
          <w:spacing w:val="-5"/>
          <w:position w:val="14"/>
          <w:sz w:val="28"/>
          <w:szCs w:val="28"/>
        </w:rPr>
        <w:t>附件</w:t>
      </w:r>
      <w:r>
        <w:rPr>
          <w:rFonts w:ascii="黑体" w:hAnsi="黑体" w:eastAsia="黑体" w:cs="仿宋"/>
          <w:spacing w:val="-5"/>
          <w:position w:val="14"/>
          <w:sz w:val="28"/>
          <w:szCs w:val="28"/>
        </w:rPr>
        <w:t>1</w:t>
      </w:r>
    </w:p>
    <w:p w14:paraId="56DCD4E1">
      <w:pPr>
        <w:spacing w:line="360" w:lineRule="auto"/>
        <w:jc w:val="center"/>
        <w:rPr>
          <w:rFonts w:ascii="Times New Roman" w:hAnsi="Times New Roman" w:eastAsia="宋体" w:cs="Times New Roman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宋体" w:cs="Times New Roman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表层土壤调查采样验收评分表</w:t>
      </w:r>
    </w:p>
    <w:tbl>
      <w:tblPr>
        <w:tblStyle w:val="5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85" w:type="dxa"/>
          <w:bottom w:w="0" w:type="dxa"/>
          <w:right w:w="85" w:type="dxa"/>
        </w:tblCellMar>
      </w:tblPr>
      <w:tblGrid>
        <w:gridCol w:w="773"/>
        <w:gridCol w:w="609"/>
        <w:gridCol w:w="3082"/>
        <w:gridCol w:w="3353"/>
        <w:gridCol w:w="659"/>
      </w:tblGrid>
      <w:tr w14:paraId="31F909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2F102BF7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</w:t>
            </w:r>
          </w:p>
        </w:tc>
        <w:tc>
          <w:tcPr>
            <w:tcW w:w="359" w:type="pct"/>
            <w:vAlign w:val="center"/>
          </w:tcPr>
          <w:p w14:paraId="07272E85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1818" w:type="pct"/>
            <w:vAlign w:val="center"/>
          </w:tcPr>
          <w:p w14:paraId="24797C5C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验收内容与要求</w:t>
            </w:r>
          </w:p>
        </w:tc>
        <w:tc>
          <w:tcPr>
            <w:tcW w:w="1978" w:type="pct"/>
            <w:vAlign w:val="center"/>
          </w:tcPr>
          <w:p w14:paraId="37CC9651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评分要点</w:t>
            </w:r>
          </w:p>
        </w:tc>
        <w:tc>
          <w:tcPr>
            <w:tcW w:w="389" w:type="pct"/>
            <w:vAlign w:val="center"/>
          </w:tcPr>
          <w:p w14:paraId="1D8294DB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7B6530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5629398E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持证上岗</w:t>
            </w:r>
          </w:p>
        </w:tc>
        <w:tc>
          <w:tcPr>
            <w:tcW w:w="359" w:type="pct"/>
            <w:vAlign w:val="center"/>
          </w:tcPr>
          <w:p w14:paraId="1E710BF4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818" w:type="pct"/>
            <w:vAlign w:val="center"/>
          </w:tcPr>
          <w:p w14:paraId="7D832924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技术领队带队作业；基层农技人员逐点审核。</w:t>
            </w:r>
          </w:p>
        </w:tc>
        <w:tc>
          <w:tcPr>
            <w:tcW w:w="1978" w:type="pct"/>
            <w:vAlign w:val="center"/>
          </w:tcPr>
          <w:p w14:paraId="1F99D735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技术领队不到场或顶替作业，每个样点扣2分；基层农技人员未现场审核，每个样点扣1分；累加扣分，本项扣完为止（下同）。</w:t>
            </w:r>
          </w:p>
        </w:tc>
        <w:tc>
          <w:tcPr>
            <w:tcW w:w="389" w:type="pct"/>
            <w:vAlign w:val="center"/>
          </w:tcPr>
          <w:p w14:paraId="7FD6F1FA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E4FE0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79F6EAA8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采样时间</w:t>
            </w:r>
          </w:p>
        </w:tc>
        <w:tc>
          <w:tcPr>
            <w:tcW w:w="359" w:type="pct"/>
            <w:vAlign w:val="center"/>
          </w:tcPr>
          <w:p w14:paraId="0107FE16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818" w:type="pct"/>
            <w:vAlign w:val="center"/>
          </w:tcPr>
          <w:p w14:paraId="1FE3E282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播种和施肥前、作物收获后或避开施肥影响期，盐碱地在盐分累积高峰期；雪被（景观照地表积雪覆盖度超50%）或冰冻期不可采样。</w:t>
            </w:r>
          </w:p>
        </w:tc>
        <w:tc>
          <w:tcPr>
            <w:tcW w:w="1978" w:type="pct"/>
            <w:vAlign w:val="center"/>
          </w:tcPr>
          <w:p w14:paraId="40387AD2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不符合规范要求的，每个样点根据偏离程度酌情扣0.1-0.3分。</w:t>
            </w:r>
          </w:p>
        </w:tc>
        <w:tc>
          <w:tcPr>
            <w:tcW w:w="389" w:type="pct"/>
            <w:vAlign w:val="center"/>
          </w:tcPr>
          <w:p w14:paraId="3037BB31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AA914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1F3F53C3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样点选择</w:t>
            </w:r>
          </w:p>
        </w:tc>
        <w:tc>
          <w:tcPr>
            <w:tcW w:w="359" w:type="pct"/>
            <w:vAlign w:val="center"/>
          </w:tcPr>
          <w:p w14:paraId="4070C122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818" w:type="pct"/>
            <w:vAlign w:val="center"/>
          </w:tcPr>
          <w:p w14:paraId="2CCE9815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电子围栏内田块/样地选择具有代表性；样点调整依据充分，调整流程规范。</w:t>
            </w:r>
          </w:p>
        </w:tc>
        <w:tc>
          <w:tcPr>
            <w:tcW w:w="1978" w:type="pct"/>
            <w:vAlign w:val="center"/>
          </w:tcPr>
          <w:p w14:paraId="57EFA7DA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田块/样地选择不符合规范要求的，每个样点根据偏离程度酌情扣0.2-0.75分；样点调整依据不充分的，酌情扣0.2-0.75分；调整未经省级审核的，每个样点扣1分。</w:t>
            </w:r>
          </w:p>
        </w:tc>
        <w:tc>
          <w:tcPr>
            <w:tcW w:w="389" w:type="pct"/>
            <w:vAlign w:val="center"/>
          </w:tcPr>
          <w:p w14:paraId="0E6AEF74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B43B2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48791AC9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样品采集</w:t>
            </w:r>
          </w:p>
        </w:tc>
        <w:tc>
          <w:tcPr>
            <w:tcW w:w="359" w:type="pct"/>
            <w:vAlign w:val="center"/>
          </w:tcPr>
          <w:p w14:paraId="170FDAD5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1818" w:type="pct"/>
            <w:vAlign w:val="center"/>
          </w:tcPr>
          <w:p w14:paraId="5E0ADF0F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混样点数量、分布符合规范；样品采集、混样符合规范。</w:t>
            </w:r>
          </w:p>
        </w:tc>
        <w:tc>
          <w:tcPr>
            <w:tcW w:w="1978" w:type="pct"/>
            <w:vAlign w:val="center"/>
          </w:tcPr>
          <w:p w14:paraId="403AEE19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如发现混样点造假现象，每个样点扣10分；如混样点数量不足5个，缺1个扣1分；其他情况每个样点酌情扣0.2-1分。</w:t>
            </w:r>
          </w:p>
        </w:tc>
        <w:tc>
          <w:tcPr>
            <w:tcW w:w="389" w:type="pct"/>
            <w:vAlign w:val="center"/>
          </w:tcPr>
          <w:p w14:paraId="14375958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74243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63F7A202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成土环境与土壤利用</w:t>
            </w:r>
          </w:p>
        </w:tc>
        <w:tc>
          <w:tcPr>
            <w:tcW w:w="359" w:type="pct"/>
            <w:vAlign w:val="center"/>
          </w:tcPr>
          <w:p w14:paraId="5F2BE9C3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818" w:type="pct"/>
            <w:vAlign w:val="center"/>
          </w:tcPr>
          <w:p w14:paraId="44081B0F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成土环境、地表特征、土壤利用等信息填报正确（每项5分）。</w:t>
            </w:r>
          </w:p>
        </w:tc>
        <w:tc>
          <w:tcPr>
            <w:tcW w:w="1978" w:type="pct"/>
            <w:vAlign w:val="center"/>
          </w:tcPr>
          <w:p w14:paraId="136EC9B5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如果填报指标的内容不完整、信息不准确、相互之间逻辑不一致，每个填报指标扣0.1分。</w:t>
            </w:r>
          </w:p>
        </w:tc>
        <w:tc>
          <w:tcPr>
            <w:tcW w:w="389" w:type="pct"/>
            <w:vAlign w:val="center"/>
          </w:tcPr>
          <w:p w14:paraId="70CCE174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489FE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6C331F61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过程记录</w:t>
            </w:r>
          </w:p>
        </w:tc>
        <w:tc>
          <w:tcPr>
            <w:tcW w:w="359" w:type="pct"/>
            <w:vAlign w:val="center"/>
          </w:tcPr>
          <w:p w14:paraId="07666B6D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818" w:type="pct"/>
            <w:vAlign w:val="center"/>
          </w:tcPr>
          <w:p w14:paraId="4A57C13E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景观照片、过程照片种类和数量符合规范，照片内容与记载信息一致，视觉效果良好。</w:t>
            </w:r>
          </w:p>
        </w:tc>
        <w:tc>
          <w:tcPr>
            <w:tcW w:w="1978" w:type="pct"/>
            <w:vAlign w:val="center"/>
          </w:tcPr>
          <w:p w14:paraId="0CA02B37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不符合要求的，每个样点根据偏离程度酌情扣0.1-0.5分。</w:t>
            </w:r>
          </w:p>
        </w:tc>
        <w:tc>
          <w:tcPr>
            <w:tcW w:w="389" w:type="pct"/>
            <w:vAlign w:val="center"/>
          </w:tcPr>
          <w:p w14:paraId="21207B84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618F7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629BA3D6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质控和整改</w:t>
            </w:r>
          </w:p>
        </w:tc>
        <w:tc>
          <w:tcPr>
            <w:tcW w:w="359" w:type="pct"/>
            <w:vAlign w:val="center"/>
          </w:tcPr>
          <w:p w14:paraId="633E1444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818" w:type="pct"/>
            <w:vAlign w:val="center"/>
          </w:tcPr>
          <w:p w14:paraId="4EA4D275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质控审核比例达标、质控问题到位；质控发现问题能够批量整改到位。</w:t>
            </w:r>
          </w:p>
        </w:tc>
        <w:tc>
          <w:tcPr>
            <w:tcW w:w="1978" w:type="pct"/>
            <w:vAlign w:val="center"/>
          </w:tcPr>
          <w:p w14:paraId="042556D8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质控比例不达标、质控发现问题不到位、未批量整改或整改不到位，总体酌情扣1-15分。</w:t>
            </w:r>
          </w:p>
        </w:tc>
        <w:tc>
          <w:tcPr>
            <w:tcW w:w="389" w:type="pct"/>
            <w:vAlign w:val="center"/>
          </w:tcPr>
          <w:p w14:paraId="06A5061F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4196A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2162F9B0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359" w:type="pct"/>
            <w:vAlign w:val="center"/>
          </w:tcPr>
          <w:p w14:paraId="5FEBD5BE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818" w:type="pct"/>
            <w:vAlign w:val="center"/>
          </w:tcPr>
          <w:p w14:paraId="1FF04145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8" w:type="pct"/>
            <w:vAlign w:val="center"/>
          </w:tcPr>
          <w:p w14:paraId="670AA15D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89" w:type="pct"/>
            <w:vAlign w:val="center"/>
          </w:tcPr>
          <w:p w14:paraId="25AE8AA3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0C177ABA">
      <w:pPr>
        <w:jc w:val="left"/>
        <w:rPr>
          <w:rFonts w:hint="eastAsia" w:ascii="宋体" w:hAnsi="宋体" w:eastAsia="宋体"/>
          <w:b/>
          <w:bCs/>
          <w:color w:val="FF0000"/>
          <w:sz w:val="18"/>
          <w:szCs w:val="18"/>
        </w:rPr>
      </w:pPr>
    </w:p>
    <w:p w14:paraId="5C160192">
      <w:pPr>
        <w:widowControl/>
        <w:jc w:val="left"/>
        <w:rPr>
          <w:rFonts w:hint="eastAsia" w:ascii="宋体" w:hAnsi="宋体" w:eastAsia="宋体"/>
          <w:b/>
          <w:bCs/>
          <w:color w:val="FF0000"/>
          <w:sz w:val="18"/>
          <w:szCs w:val="18"/>
        </w:rPr>
      </w:pPr>
      <w:r>
        <w:rPr>
          <w:rFonts w:ascii="宋体" w:hAnsi="宋体" w:eastAsia="宋体"/>
          <w:b/>
          <w:bCs/>
          <w:color w:val="FF0000"/>
          <w:sz w:val="18"/>
          <w:szCs w:val="18"/>
        </w:rPr>
        <w:br w:type="page"/>
      </w:r>
    </w:p>
    <w:p w14:paraId="32B3C94E">
      <w:pPr>
        <w:rPr>
          <w:rFonts w:hint="eastAsia" w:ascii="黑体" w:hAnsi="黑体" w:eastAsia="黑体" w:cs="仿宋"/>
          <w:spacing w:val="-5"/>
          <w:position w:val="14"/>
          <w:sz w:val="28"/>
          <w:szCs w:val="28"/>
        </w:rPr>
      </w:pPr>
      <w:r>
        <w:rPr>
          <w:rFonts w:hint="eastAsia" w:ascii="黑体" w:hAnsi="黑体" w:eastAsia="黑体" w:cs="仿宋"/>
          <w:spacing w:val="-5"/>
          <w:position w:val="14"/>
          <w:sz w:val="28"/>
          <w:szCs w:val="28"/>
        </w:rPr>
        <w:t>附件2</w:t>
      </w:r>
    </w:p>
    <w:p w14:paraId="4FA294EA">
      <w:pPr>
        <w:spacing w:line="360" w:lineRule="auto"/>
        <w:jc w:val="center"/>
        <w:rPr>
          <w:rFonts w:ascii="Times New Roman" w:hAnsi="Times New Roman" w:eastAsia="宋体" w:cs="Times New Roman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宋体" w:cs="Times New Roman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剖面土壤调查采样验收评分表</w:t>
      </w:r>
    </w:p>
    <w:tbl>
      <w:tblPr>
        <w:tblStyle w:val="5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85" w:type="dxa"/>
          <w:bottom w:w="0" w:type="dxa"/>
          <w:right w:w="85" w:type="dxa"/>
        </w:tblCellMar>
      </w:tblPr>
      <w:tblGrid>
        <w:gridCol w:w="773"/>
        <w:gridCol w:w="609"/>
        <w:gridCol w:w="3082"/>
        <w:gridCol w:w="3353"/>
        <w:gridCol w:w="659"/>
      </w:tblGrid>
      <w:tr w14:paraId="6D8C25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40912DFF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</w:t>
            </w:r>
          </w:p>
        </w:tc>
        <w:tc>
          <w:tcPr>
            <w:tcW w:w="359" w:type="pct"/>
            <w:vAlign w:val="center"/>
          </w:tcPr>
          <w:p w14:paraId="75EEE5AF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1818" w:type="pct"/>
            <w:vAlign w:val="center"/>
          </w:tcPr>
          <w:p w14:paraId="40208EA7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验收内容与要求</w:t>
            </w:r>
          </w:p>
        </w:tc>
        <w:tc>
          <w:tcPr>
            <w:tcW w:w="1978" w:type="pct"/>
            <w:vAlign w:val="center"/>
          </w:tcPr>
          <w:p w14:paraId="45749DD8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评分要点</w:t>
            </w:r>
          </w:p>
        </w:tc>
        <w:tc>
          <w:tcPr>
            <w:tcW w:w="389" w:type="pct"/>
            <w:vAlign w:val="center"/>
          </w:tcPr>
          <w:p w14:paraId="71E2590C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7E08EC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6718A416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持证上岗</w:t>
            </w:r>
          </w:p>
        </w:tc>
        <w:tc>
          <w:tcPr>
            <w:tcW w:w="359" w:type="pct"/>
            <w:vAlign w:val="center"/>
          </w:tcPr>
          <w:p w14:paraId="05AB318E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818" w:type="pct"/>
            <w:vAlign w:val="center"/>
          </w:tcPr>
          <w:p w14:paraId="173B86C0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技术领队带队作业。</w:t>
            </w:r>
          </w:p>
        </w:tc>
        <w:tc>
          <w:tcPr>
            <w:tcW w:w="1978" w:type="pct"/>
            <w:vAlign w:val="center"/>
          </w:tcPr>
          <w:p w14:paraId="131312BD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技术领队不到场、顶替作业，每个样点扣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1分；累加</w:t>
            </w: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扣分，本项扣完为止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（下</w:t>
            </w: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同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）。</w:t>
            </w:r>
          </w:p>
        </w:tc>
        <w:tc>
          <w:tcPr>
            <w:tcW w:w="389" w:type="pct"/>
            <w:vAlign w:val="center"/>
          </w:tcPr>
          <w:p w14:paraId="18B734C2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5BE2F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5A16D9B5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剖面选点</w:t>
            </w:r>
          </w:p>
        </w:tc>
        <w:tc>
          <w:tcPr>
            <w:tcW w:w="359" w:type="pct"/>
            <w:vAlign w:val="center"/>
          </w:tcPr>
          <w:p w14:paraId="1BEDC614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818" w:type="pct"/>
            <w:vAlign w:val="center"/>
          </w:tcPr>
          <w:p w14:paraId="0DC189EF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图斑踏勘、剖面点选取符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合规范；点位能够代表图斑范围内主要土壤类型；避开田坎、沟渠、道路等局地影响因素。</w:t>
            </w:r>
          </w:p>
        </w:tc>
        <w:tc>
          <w:tcPr>
            <w:tcW w:w="1978" w:type="pct"/>
            <w:vAlign w:val="center"/>
          </w:tcPr>
          <w:p w14:paraId="63047EA0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不符合规范要求、不能代表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主要土壤类型、局地代表性</w:t>
            </w: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不强的，每个样点酌情扣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0.2</w:t>
            </w: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-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0.75分。</w:t>
            </w:r>
          </w:p>
        </w:tc>
        <w:tc>
          <w:tcPr>
            <w:tcW w:w="389" w:type="pct"/>
            <w:vAlign w:val="center"/>
          </w:tcPr>
          <w:p w14:paraId="06CA15CD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1BE73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3D6A37CA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层次划分</w:t>
            </w:r>
          </w:p>
        </w:tc>
        <w:tc>
          <w:tcPr>
            <w:tcW w:w="359" w:type="pct"/>
            <w:vAlign w:val="center"/>
          </w:tcPr>
          <w:p w14:paraId="7772F934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818" w:type="pct"/>
            <w:vAlign w:val="center"/>
          </w:tcPr>
          <w:p w14:paraId="2E86B2E6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剖面光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/毛面修整、尺子摆放、光照符合规范；土</w:t>
            </w: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壤发生层划分与命名正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确。</w:t>
            </w:r>
          </w:p>
        </w:tc>
        <w:tc>
          <w:tcPr>
            <w:tcW w:w="1978" w:type="pct"/>
            <w:vAlign w:val="center"/>
          </w:tcPr>
          <w:p w14:paraId="361A1A9D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根据剖面修整规范程度、各发生层划分总体偏离或错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误程度，每个样点酌情扣0.2</w:t>
            </w: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-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1分。</w:t>
            </w:r>
          </w:p>
        </w:tc>
        <w:tc>
          <w:tcPr>
            <w:tcW w:w="389" w:type="pct"/>
            <w:vAlign w:val="center"/>
          </w:tcPr>
          <w:p w14:paraId="5F28786E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BE1F4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34F440B8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形态观察</w:t>
            </w:r>
          </w:p>
        </w:tc>
        <w:tc>
          <w:tcPr>
            <w:tcW w:w="359" w:type="pct"/>
            <w:vAlign w:val="center"/>
          </w:tcPr>
          <w:p w14:paraId="763F896E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818" w:type="pct"/>
            <w:vAlign w:val="center"/>
          </w:tcPr>
          <w:p w14:paraId="30D049C4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每个发生层性状特征描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述完整、正确；与成土环境、土壤类型之间保持发生学的逻辑一致性；上下</w:t>
            </w: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层次之间分异符合土壤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发生学逻辑。</w:t>
            </w:r>
          </w:p>
        </w:tc>
        <w:tc>
          <w:tcPr>
            <w:tcW w:w="1978" w:type="pct"/>
            <w:vAlign w:val="center"/>
          </w:tcPr>
          <w:p w14:paraId="131F2BFA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根据各发生层总体偏离或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错误程度，每个样点酌情扣0.2</w:t>
            </w: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-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1分。</w:t>
            </w:r>
          </w:p>
        </w:tc>
        <w:tc>
          <w:tcPr>
            <w:tcW w:w="389" w:type="pct"/>
            <w:vAlign w:val="center"/>
          </w:tcPr>
          <w:p w14:paraId="576F2A35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54D2D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73BD7908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土壤分类</w:t>
            </w:r>
          </w:p>
        </w:tc>
        <w:tc>
          <w:tcPr>
            <w:tcW w:w="359" w:type="pct"/>
            <w:vAlign w:val="center"/>
          </w:tcPr>
          <w:p w14:paraId="50DBB871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818" w:type="pct"/>
            <w:vAlign w:val="center"/>
          </w:tcPr>
          <w:p w14:paraId="36A10E59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土壤类型名称正确，剖面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野外评述科学合理。</w:t>
            </w:r>
          </w:p>
        </w:tc>
        <w:tc>
          <w:tcPr>
            <w:tcW w:w="1978" w:type="pct"/>
            <w:vAlign w:val="center"/>
          </w:tcPr>
          <w:p w14:paraId="433C9DDD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根据偏离或错误程度酌情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扣0.1</w:t>
            </w: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-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0.5分。</w:t>
            </w:r>
          </w:p>
        </w:tc>
        <w:tc>
          <w:tcPr>
            <w:tcW w:w="389" w:type="pct"/>
            <w:vAlign w:val="center"/>
          </w:tcPr>
          <w:p w14:paraId="39A2824D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2B69A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79EE2829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成土环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境与土壤利用</w:t>
            </w:r>
          </w:p>
        </w:tc>
        <w:tc>
          <w:tcPr>
            <w:tcW w:w="359" w:type="pct"/>
            <w:vAlign w:val="center"/>
          </w:tcPr>
          <w:p w14:paraId="1BF57CFE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818" w:type="pct"/>
            <w:vAlign w:val="center"/>
          </w:tcPr>
          <w:p w14:paraId="67471F7D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成土环境、地表特征、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土壤利用等信息填报正确。</w:t>
            </w:r>
          </w:p>
        </w:tc>
        <w:tc>
          <w:tcPr>
            <w:tcW w:w="1978" w:type="pct"/>
            <w:vAlign w:val="center"/>
          </w:tcPr>
          <w:p w14:paraId="73DDEDBD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如果填报指标的内容不完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整、信息不准确、相互之间逻辑不一致，每个填报指标扣0.1分。</w:t>
            </w:r>
          </w:p>
        </w:tc>
        <w:tc>
          <w:tcPr>
            <w:tcW w:w="389" w:type="pct"/>
            <w:vAlign w:val="center"/>
          </w:tcPr>
          <w:p w14:paraId="408CECA4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FDABF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56164D01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过程记录</w:t>
            </w:r>
          </w:p>
        </w:tc>
        <w:tc>
          <w:tcPr>
            <w:tcW w:w="359" w:type="pct"/>
            <w:vAlign w:val="center"/>
          </w:tcPr>
          <w:p w14:paraId="0F89A885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818" w:type="pct"/>
            <w:vAlign w:val="center"/>
          </w:tcPr>
          <w:p w14:paraId="476C1372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景观照片、过程照片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（工作底图、断面图等）种类和数量符合规范，照片内容与记载信息一致，视觉效果良好。</w:t>
            </w:r>
          </w:p>
        </w:tc>
        <w:tc>
          <w:tcPr>
            <w:tcW w:w="1978" w:type="pct"/>
            <w:vAlign w:val="center"/>
          </w:tcPr>
          <w:p w14:paraId="1B597953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不符合要求的，每个样点根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据偏离程度酌情扣0.1</w:t>
            </w: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-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0.5分。</w:t>
            </w:r>
          </w:p>
        </w:tc>
        <w:tc>
          <w:tcPr>
            <w:tcW w:w="389" w:type="pct"/>
            <w:vAlign w:val="center"/>
          </w:tcPr>
          <w:p w14:paraId="666E84BE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9FF78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185FC160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质控和整改</w:t>
            </w:r>
          </w:p>
        </w:tc>
        <w:tc>
          <w:tcPr>
            <w:tcW w:w="359" w:type="pct"/>
            <w:vAlign w:val="center"/>
          </w:tcPr>
          <w:p w14:paraId="53A7B3F8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818" w:type="pct"/>
            <w:vAlign w:val="center"/>
          </w:tcPr>
          <w:p w14:paraId="53A1560D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质控审核比例达标、质控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问题到位；质控发现问题能够批量整改到位。</w:t>
            </w:r>
          </w:p>
        </w:tc>
        <w:tc>
          <w:tcPr>
            <w:tcW w:w="1978" w:type="pct"/>
            <w:vAlign w:val="center"/>
          </w:tcPr>
          <w:p w14:paraId="11DFE7BF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质控比例不达标、质控发现问题不到位、未批量整改或整改不到位，总体酌情扣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-</w:t>
            </w: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10分。</w:t>
            </w:r>
          </w:p>
        </w:tc>
        <w:tc>
          <w:tcPr>
            <w:tcW w:w="389" w:type="pct"/>
            <w:vAlign w:val="center"/>
          </w:tcPr>
          <w:p w14:paraId="6006E110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09C7F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54" w:hRule="atLeast"/>
        </w:trPr>
        <w:tc>
          <w:tcPr>
            <w:tcW w:w="456" w:type="pct"/>
            <w:vAlign w:val="center"/>
          </w:tcPr>
          <w:p w14:paraId="62C0DB59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359" w:type="pct"/>
            <w:vAlign w:val="center"/>
          </w:tcPr>
          <w:p w14:paraId="274D7A31">
            <w:pPr>
              <w:spacing w:line="288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818" w:type="pct"/>
            <w:vAlign w:val="center"/>
          </w:tcPr>
          <w:p w14:paraId="1C34CC03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8" w:type="pct"/>
            <w:vAlign w:val="center"/>
          </w:tcPr>
          <w:p w14:paraId="4B34DD82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89" w:type="pct"/>
            <w:vAlign w:val="center"/>
          </w:tcPr>
          <w:p w14:paraId="5FC7494C">
            <w:pPr>
              <w:spacing w:line="288" w:lineRule="auto"/>
              <w:rPr>
                <w:rFonts w:ascii="Times New Roman" w:hAnsi="Times New Roman" w:eastAsia="宋体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0D056020">
      <w:pPr>
        <w:widowControl/>
        <w:jc w:val="left"/>
        <w:rPr>
          <w:rFonts w:hint="eastAsia" w:ascii="黑体" w:hAnsi="黑体" w:eastAsia="黑体" w:cs="仿宋"/>
          <w:spacing w:val="-5"/>
          <w:position w:val="14"/>
          <w:sz w:val="28"/>
          <w:szCs w:val="28"/>
        </w:rPr>
      </w:pPr>
      <w:r>
        <w:rPr>
          <w:rFonts w:ascii="黑体" w:hAnsi="黑体" w:eastAsia="黑体" w:cs="仿宋"/>
          <w:spacing w:val="-5"/>
          <w:position w:val="14"/>
          <w:sz w:val="28"/>
          <w:szCs w:val="28"/>
        </w:rPr>
        <w:br w:type="page"/>
      </w:r>
    </w:p>
    <w:p w14:paraId="0A7F45B9">
      <w:pPr>
        <w:rPr>
          <w:rFonts w:hint="eastAsia" w:ascii="黑体" w:hAnsi="黑体" w:eastAsia="黑体" w:cs="仿宋"/>
          <w:spacing w:val="-5"/>
          <w:position w:val="14"/>
          <w:sz w:val="28"/>
          <w:szCs w:val="28"/>
        </w:rPr>
      </w:pPr>
      <w:r>
        <w:rPr>
          <w:rFonts w:hint="eastAsia" w:ascii="黑体" w:hAnsi="黑体" w:eastAsia="黑体" w:cs="仿宋"/>
          <w:spacing w:val="-5"/>
          <w:position w:val="14"/>
          <w:sz w:val="28"/>
          <w:szCs w:val="28"/>
        </w:rPr>
        <w:t>附件3</w:t>
      </w:r>
    </w:p>
    <w:p w14:paraId="23658E65">
      <w:pPr>
        <w:jc w:val="center"/>
        <w:rPr>
          <w:rFonts w:ascii="Times New Roman" w:hAnsi="Times New Roman" w:eastAsia="宋体" w:cs="Times New Roman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宋体" w:cs="Times New Roman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剖面样点资料范例</w:t>
      </w:r>
    </w:p>
    <w:p w14:paraId="7D746CDC">
      <w:pPr>
        <w:jc w:val="center"/>
        <w:rPr>
          <w:rFonts w:ascii="Times New Roman" w:hAnsi="Times New Roman" w:eastAsia="宋体" w:cs="Times New Roman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5617210" cy="5305425"/>
            <wp:effectExtent l="0" t="0" r="2540" b="9525"/>
            <wp:docPr id="172425707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4257070" name="图片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17210" cy="530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28D6DF">
      <w:pPr>
        <w:jc w:val="left"/>
        <w:rPr>
          <w:rFonts w:ascii="Times New Roman" w:hAnsi="Times New Roman" w:eastAsia="宋体" w:cs="Times New Roman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 w14:paraId="298A10DE">
      <w:pPr>
        <w:widowControl/>
        <w:jc w:val="left"/>
        <w:rPr>
          <w:rFonts w:ascii="Times New Roman" w:hAnsi="Times New Roman" w:eastAsia="宋体" w:cs="Times New Roman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宋体" w:cs="Times New Roman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br w:type="page"/>
      </w:r>
    </w:p>
    <w:p w14:paraId="62699CE5">
      <w:pPr>
        <w:rPr>
          <w:rFonts w:hint="eastAsia" w:ascii="黑体" w:hAnsi="黑体" w:eastAsia="黑体" w:cs="仿宋"/>
          <w:spacing w:val="-5"/>
          <w:position w:val="14"/>
          <w:sz w:val="28"/>
          <w:szCs w:val="28"/>
        </w:rPr>
      </w:pPr>
      <w:r>
        <w:rPr>
          <w:rFonts w:hint="eastAsia" w:ascii="黑体" w:hAnsi="黑体" w:eastAsia="黑体" w:cs="仿宋"/>
          <w:spacing w:val="-5"/>
          <w:position w:val="14"/>
          <w:sz w:val="28"/>
          <w:szCs w:val="28"/>
        </w:rPr>
        <w:t>附件4</w:t>
      </w:r>
    </w:p>
    <w:p w14:paraId="3D7B6F19">
      <w:pPr>
        <w:jc w:val="center"/>
        <w:rPr>
          <w:rFonts w:hint="eastAsia" w:ascii="仿宋" w:hAnsi="仿宋" w:eastAsia="仿宋" w:cs="仿宋"/>
          <w:b/>
          <w:bCs/>
          <w:spacing w:val="-5"/>
          <w:position w:val="14"/>
          <w:sz w:val="36"/>
          <w:szCs w:val="36"/>
        </w:rPr>
      </w:pPr>
      <w:r>
        <w:rPr>
          <w:rFonts w:ascii="仿宋" w:hAnsi="仿宋" w:eastAsia="仿宋" w:cs="仿宋"/>
          <w:b/>
          <w:bCs/>
          <w:spacing w:val="-5"/>
          <w:position w:val="14"/>
          <w:sz w:val="36"/>
          <w:szCs w:val="36"/>
        </w:rPr>
        <w:t>**区第三次全国土壤普查</w:t>
      </w:r>
    </w:p>
    <w:p w14:paraId="035B2C48">
      <w:pPr>
        <w:jc w:val="center"/>
        <w:rPr>
          <w:rFonts w:hint="eastAsia" w:ascii="仿宋" w:hAnsi="仿宋" w:eastAsia="仿宋" w:cs="仿宋"/>
          <w:b/>
          <w:bCs/>
          <w:spacing w:val="-5"/>
          <w:position w:val="14"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pacing w:val="-5"/>
          <w:position w:val="14"/>
          <w:sz w:val="36"/>
          <w:szCs w:val="36"/>
        </w:rPr>
        <w:t>表层样点外业调查采样验收意见</w:t>
      </w:r>
    </w:p>
    <w:p w14:paraId="518FC6D5">
      <w:pPr>
        <w:ind w:firstLine="540" w:firstLineChars="200"/>
        <w:jc w:val="left"/>
        <w:rPr>
          <w:rFonts w:hint="eastAsia" w:ascii="仿宋" w:hAnsi="仿宋" w:eastAsia="仿宋" w:cs="仿宋"/>
          <w:spacing w:val="-5"/>
          <w:position w:val="14"/>
          <w:sz w:val="28"/>
          <w:szCs w:val="28"/>
        </w:rPr>
      </w:pPr>
    </w:p>
    <w:p w14:paraId="1FC72873">
      <w:pPr>
        <w:ind w:firstLine="540" w:firstLineChars="200"/>
        <w:jc w:val="left"/>
        <w:rPr>
          <w:rFonts w:hint="eastAsia" w:ascii="仿宋" w:hAnsi="仿宋" w:eastAsia="仿宋" w:cs="仿宋"/>
          <w:spacing w:val="-5"/>
          <w:position w:val="14"/>
          <w:sz w:val="28"/>
          <w:szCs w:val="28"/>
        </w:rPr>
      </w:pPr>
      <w:r>
        <w:rPr>
          <w:rFonts w:ascii="仿宋" w:hAnsi="仿宋" w:eastAsia="仿宋" w:cs="仿宋"/>
          <w:spacing w:val="-5"/>
          <w:position w:val="14"/>
          <w:sz w:val="28"/>
          <w:szCs w:val="28"/>
        </w:rPr>
        <w:t>**年**月**日，**区第三次全国土壤普查领导小组办公室组织专家（名单附后）对**区开展表层样点省级验收，经专家组听取现场汇报、审查样点资料、质询讨论，形成如下验收意见。</w:t>
      </w:r>
    </w:p>
    <w:p w14:paraId="579B3177">
      <w:pPr>
        <w:ind w:firstLine="540" w:firstLineChars="200"/>
        <w:jc w:val="left"/>
        <w:rPr>
          <w:rFonts w:hint="eastAsia" w:ascii="仿宋" w:hAnsi="仿宋" w:eastAsia="仿宋" w:cs="仿宋"/>
          <w:spacing w:val="-5"/>
          <w:position w:val="14"/>
          <w:sz w:val="28"/>
          <w:szCs w:val="28"/>
        </w:rPr>
      </w:pPr>
      <w:r>
        <w:rPr>
          <w:rFonts w:hint="eastAsia" w:ascii="仿宋" w:hAnsi="仿宋" w:eastAsia="仿宋" w:cs="仿宋"/>
          <w:spacing w:val="-5"/>
          <w:position w:val="14"/>
          <w:sz w:val="28"/>
          <w:szCs w:val="28"/>
        </w:rPr>
        <w:t>一、领队持证上岗及基层农技人员跟队下地情况</w:t>
      </w:r>
    </w:p>
    <w:p w14:paraId="1EFDCF40">
      <w:pPr>
        <w:ind w:firstLine="540" w:firstLineChars="200"/>
        <w:jc w:val="left"/>
        <w:rPr>
          <w:rFonts w:hint="eastAsia" w:ascii="仿宋" w:hAnsi="仿宋" w:eastAsia="仿宋" w:cs="仿宋"/>
          <w:spacing w:val="-5"/>
          <w:position w:val="14"/>
          <w:sz w:val="28"/>
          <w:szCs w:val="28"/>
        </w:rPr>
      </w:pPr>
      <w:r>
        <w:rPr>
          <w:rFonts w:hint="eastAsia" w:ascii="仿宋" w:hAnsi="仿宋" w:eastAsia="仿宋" w:cs="仿宋"/>
          <w:spacing w:val="-5"/>
          <w:position w:val="14"/>
          <w:sz w:val="28"/>
          <w:szCs w:val="28"/>
        </w:rPr>
        <w:t>二、样点及混样点代表性情况</w:t>
      </w:r>
    </w:p>
    <w:p w14:paraId="02030087">
      <w:pPr>
        <w:ind w:firstLine="540" w:firstLineChars="200"/>
        <w:jc w:val="left"/>
        <w:rPr>
          <w:rFonts w:hint="eastAsia" w:ascii="仿宋" w:hAnsi="仿宋" w:eastAsia="仿宋" w:cs="仿宋"/>
          <w:spacing w:val="-5"/>
          <w:position w:val="14"/>
          <w:sz w:val="28"/>
          <w:szCs w:val="28"/>
        </w:rPr>
      </w:pPr>
      <w:r>
        <w:rPr>
          <w:rFonts w:hint="eastAsia" w:ascii="仿宋" w:hAnsi="仿宋" w:eastAsia="仿宋" w:cs="仿宋"/>
          <w:spacing w:val="-5"/>
          <w:position w:val="14"/>
          <w:sz w:val="28"/>
          <w:szCs w:val="28"/>
        </w:rPr>
        <w:t>三、成土环境与地表信息填报情况</w:t>
      </w:r>
    </w:p>
    <w:p w14:paraId="3F59C91F">
      <w:pPr>
        <w:ind w:firstLine="540" w:firstLineChars="200"/>
        <w:jc w:val="left"/>
        <w:rPr>
          <w:rFonts w:hint="eastAsia" w:ascii="仿宋" w:hAnsi="仿宋" w:eastAsia="仿宋" w:cs="仿宋"/>
          <w:spacing w:val="-5"/>
          <w:position w:val="14"/>
          <w:sz w:val="28"/>
          <w:szCs w:val="28"/>
        </w:rPr>
      </w:pPr>
      <w:r>
        <w:rPr>
          <w:rFonts w:hint="eastAsia" w:ascii="仿宋" w:hAnsi="仿宋" w:eastAsia="仿宋" w:cs="仿宋"/>
          <w:spacing w:val="-5"/>
          <w:position w:val="14"/>
          <w:sz w:val="28"/>
          <w:szCs w:val="28"/>
        </w:rPr>
        <w:t>四、土壤利用信息填报情况</w:t>
      </w:r>
    </w:p>
    <w:p w14:paraId="73F55206">
      <w:pPr>
        <w:ind w:firstLine="540" w:firstLineChars="200"/>
        <w:jc w:val="left"/>
        <w:rPr>
          <w:rFonts w:hint="eastAsia" w:ascii="仿宋" w:hAnsi="仿宋" w:eastAsia="仿宋" w:cs="仿宋"/>
          <w:spacing w:val="-5"/>
          <w:position w:val="14"/>
          <w:sz w:val="28"/>
          <w:szCs w:val="28"/>
        </w:rPr>
      </w:pPr>
      <w:r>
        <w:rPr>
          <w:rFonts w:hint="eastAsia" w:ascii="仿宋" w:hAnsi="仿宋" w:eastAsia="仿宋" w:cs="仿宋"/>
          <w:spacing w:val="-5"/>
          <w:position w:val="14"/>
          <w:sz w:val="28"/>
          <w:szCs w:val="28"/>
        </w:rPr>
        <w:t>五、质控及整改情况</w:t>
      </w:r>
    </w:p>
    <w:p w14:paraId="468A7158">
      <w:pPr>
        <w:ind w:firstLine="540" w:firstLineChars="200"/>
        <w:jc w:val="left"/>
        <w:rPr>
          <w:rFonts w:hint="eastAsia" w:ascii="仿宋" w:hAnsi="仿宋" w:eastAsia="仿宋" w:cs="仿宋"/>
          <w:spacing w:val="-5"/>
          <w:position w:val="14"/>
          <w:sz w:val="28"/>
          <w:szCs w:val="28"/>
        </w:rPr>
      </w:pPr>
      <w:r>
        <w:rPr>
          <w:rFonts w:hint="eastAsia" w:ascii="仿宋" w:hAnsi="仿宋" w:eastAsia="仿宋" w:cs="仿宋"/>
          <w:spacing w:val="-5"/>
          <w:position w:val="14"/>
          <w:sz w:val="28"/>
          <w:szCs w:val="28"/>
        </w:rPr>
        <w:t>六、存在问题及整改建议</w:t>
      </w:r>
    </w:p>
    <w:p w14:paraId="547E1E26">
      <w:pPr>
        <w:ind w:firstLine="540" w:firstLineChars="200"/>
        <w:jc w:val="left"/>
        <w:rPr>
          <w:rFonts w:hint="eastAsia" w:ascii="仿宋" w:hAnsi="仿宋" w:eastAsia="仿宋" w:cs="仿宋"/>
          <w:spacing w:val="-5"/>
          <w:position w:val="14"/>
          <w:sz w:val="28"/>
          <w:szCs w:val="28"/>
        </w:rPr>
      </w:pPr>
      <w:r>
        <w:rPr>
          <w:rFonts w:hint="eastAsia" w:ascii="仿宋" w:hAnsi="仿宋" w:eastAsia="仿宋" w:cs="仿宋"/>
          <w:spacing w:val="-5"/>
          <w:position w:val="14"/>
          <w:sz w:val="28"/>
          <w:szCs w:val="28"/>
        </w:rPr>
        <w:t>七、验收结论</w:t>
      </w:r>
    </w:p>
    <w:p w14:paraId="7A03EC7E">
      <w:pPr>
        <w:jc w:val="left"/>
        <w:rPr>
          <w:rFonts w:hint="eastAsia" w:ascii="仿宋" w:hAnsi="仿宋" w:eastAsia="仿宋" w:cs="仿宋"/>
          <w:spacing w:val="-5"/>
          <w:position w:val="14"/>
          <w:sz w:val="32"/>
          <w:szCs w:val="32"/>
        </w:rPr>
      </w:pPr>
    </w:p>
    <w:p w14:paraId="3D7FD426">
      <w:pPr>
        <w:jc w:val="right"/>
        <w:rPr>
          <w:rFonts w:hint="eastAsia" w:ascii="仿宋" w:hAnsi="仿宋" w:eastAsia="仿宋" w:cs="仿宋"/>
          <w:spacing w:val="-5"/>
          <w:position w:val="14"/>
          <w:sz w:val="28"/>
          <w:szCs w:val="28"/>
        </w:rPr>
      </w:pPr>
      <w:r>
        <w:rPr>
          <w:rFonts w:hint="eastAsia" w:ascii="仿宋" w:hAnsi="仿宋" w:eastAsia="仿宋" w:cs="仿宋"/>
          <w:spacing w:val="-5"/>
          <w:position w:val="14"/>
          <w:sz w:val="28"/>
          <w:szCs w:val="28"/>
        </w:rPr>
        <w:t>验收专家组组长</w:t>
      </w:r>
      <w:r>
        <w:rPr>
          <w:rFonts w:ascii="仿宋" w:hAnsi="仿宋" w:eastAsia="仿宋" w:cs="仿宋"/>
          <w:spacing w:val="-5"/>
          <w:position w:val="14"/>
          <w:sz w:val="28"/>
          <w:szCs w:val="28"/>
        </w:rPr>
        <w:t>（签字）:</w:t>
      </w:r>
    </w:p>
    <w:p w14:paraId="61575789">
      <w:pPr>
        <w:jc w:val="right"/>
        <w:rPr>
          <w:rFonts w:hint="eastAsia" w:ascii="仿宋" w:hAnsi="仿宋" w:eastAsia="仿宋" w:cs="仿宋"/>
          <w:spacing w:val="-5"/>
          <w:position w:val="14"/>
          <w:sz w:val="28"/>
          <w:szCs w:val="28"/>
        </w:rPr>
      </w:pPr>
      <w:r>
        <w:rPr>
          <w:rFonts w:hint="eastAsia" w:ascii="仿宋" w:hAnsi="仿宋" w:eastAsia="仿宋" w:cs="仿宋"/>
          <w:spacing w:val="-5"/>
          <w:position w:val="14"/>
          <w:sz w:val="28"/>
          <w:szCs w:val="28"/>
        </w:rPr>
        <w:t>年</w:t>
      </w:r>
      <w:r>
        <w:rPr>
          <w:rFonts w:ascii="仿宋" w:hAnsi="仿宋" w:eastAsia="仿宋" w:cs="仿宋"/>
          <w:spacing w:val="-5"/>
          <w:position w:val="14"/>
          <w:sz w:val="28"/>
          <w:szCs w:val="28"/>
        </w:rPr>
        <w:t xml:space="preserve">  月  日</w:t>
      </w:r>
    </w:p>
    <w:p w14:paraId="4175D3D4">
      <w:pPr>
        <w:jc w:val="right"/>
        <w:rPr>
          <w:rFonts w:hint="eastAsia" w:ascii="仿宋" w:hAnsi="仿宋" w:eastAsia="仿宋" w:cs="仿宋"/>
          <w:spacing w:val="-5"/>
          <w:position w:val="14"/>
          <w:sz w:val="28"/>
          <w:szCs w:val="28"/>
        </w:rPr>
      </w:pPr>
    </w:p>
    <w:p w14:paraId="4A8A76D2">
      <w:pPr>
        <w:jc w:val="right"/>
        <w:rPr>
          <w:rFonts w:hint="eastAsia" w:ascii="仿宋" w:hAnsi="仿宋" w:eastAsia="仿宋" w:cs="仿宋"/>
          <w:spacing w:val="-5"/>
          <w:position w:val="14"/>
          <w:sz w:val="28"/>
          <w:szCs w:val="28"/>
        </w:rPr>
      </w:pPr>
      <w:r>
        <w:rPr>
          <w:rFonts w:ascii="仿宋" w:hAnsi="仿宋" w:eastAsia="仿宋" w:cs="仿宋"/>
          <w:spacing w:val="-5"/>
          <w:position w:val="14"/>
          <w:sz w:val="28"/>
          <w:szCs w:val="28"/>
        </w:rPr>
        <w:t>**区第三次全国土壤普查</w:t>
      </w:r>
      <w:r>
        <w:rPr>
          <w:rFonts w:hint="eastAsia" w:ascii="仿宋" w:hAnsi="仿宋" w:eastAsia="仿宋" w:cs="仿宋"/>
          <w:spacing w:val="-5"/>
          <w:position w:val="14"/>
          <w:sz w:val="28"/>
          <w:szCs w:val="28"/>
        </w:rPr>
        <w:t>领导小组办公室（盖章）</w:t>
      </w:r>
    </w:p>
    <w:p w14:paraId="02715A92">
      <w:pPr>
        <w:jc w:val="right"/>
        <w:rPr>
          <w:rFonts w:hint="eastAsia" w:ascii="仿宋" w:hAnsi="仿宋" w:eastAsia="仿宋" w:cs="仿宋"/>
          <w:spacing w:val="-5"/>
          <w:position w:val="14"/>
          <w:sz w:val="32"/>
          <w:szCs w:val="32"/>
        </w:rPr>
      </w:pPr>
      <w:r>
        <w:rPr>
          <w:rFonts w:hint="eastAsia" w:ascii="仿宋" w:hAnsi="仿宋" w:eastAsia="仿宋" w:cs="仿宋"/>
          <w:spacing w:val="-5"/>
          <w:position w:val="14"/>
          <w:sz w:val="28"/>
          <w:szCs w:val="28"/>
        </w:rPr>
        <w:t>年</w:t>
      </w:r>
      <w:r>
        <w:rPr>
          <w:rFonts w:ascii="仿宋" w:hAnsi="仿宋" w:eastAsia="仿宋" w:cs="仿宋"/>
          <w:spacing w:val="-5"/>
          <w:position w:val="14"/>
          <w:sz w:val="28"/>
          <w:szCs w:val="28"/>
        </w:rPr>
        <w:t xml:space="preserve">  月  日</w:t>
      </w:r>
    </w:p>
    <w:sectPr>
      <w:footerReference r:id="rId4" w:type="first"/>
      <w:footerReference r:id="rId3" w:type="default"/>
      <w:pgSz w:w="11906" w:h="16838"/>
      <w:pgMar w:top="1440" w:right="1800" w:bottom="1440" w:left="1800" w:header="851" w:footer="992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sz w:val="24"/>
        <w:szCs w:val="24"/>
      </w:rPr>
      <w:id w:val="2099525343"/>
      <w:docPartObj>
        <w:docPartGallery w:val="autotext"/>
      </w:docPartObj>
    </w:sdtPr>
    <w:sdtEndPr>
      <w:rPr>
        <w:sz w:val="24"/>
        <w:szCs w:val="24"/>
      </w:rPr>
    </w:sdtEndPr>
    <w:sdtContent>
      <w:p w14:paraId="21144C4A">
        <w:pPr>
          <w:pStyle w:val="2"/>
          <w:jc w:val="center"/>
          <w:rPr>
            <w:rFonts w:hint="eastAsia"/>
            <w:sz w:val="24"/>
            <w:szCs w:val="24"/>
          </w:rPr>
        </w:pP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PAGE   \* MERGEFORMAT</w:instrText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  <w:lang w:val="zh-CN"/>
          </w:rPr>
          <w:t>2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2FAEC5AD">
    <w:pPr>
      <w:pStyle w:val="2"/>
      <w:rPr>
        <w:rFonts w:hint="eastAsi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"/>
      <w:docPartObj>
        <w:docPartGallery w:val="autotext"/>
      </w:docPartObj>
    </w:sdtPr>
    <w:sdtContent>
      <w:p w14:paraId="4C1357C3">
        <w:pPr>
          <w:pStyle w:val="2"/>
          <w:jc w:val="center"/>
          <w:rPr>
            <w:rFonts w:hint="eastAsia"/>
          </w:rPr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27E93A0B">
    <w:pPr>
      <w:pStyle w:val="2"/>
      <w:rPr>
        <w:rFonts w:hint="eastAsia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F6D"/>
    <w:rsid w:val="00046436"/>
    <w:rsid w:val="000A1B14"/>
    <w:rsid w:val="001A2664"/>
    <w:rsid w:val="00210641"/>
    <w:rsid w:val="0026622F"/>
    <w:rsid w:val="00317567"/>
    <w:rsid w:val="00721C5B"/>
    <w:rsid w:val="007722A3"/>
    <w:rsid w:val="007E4FE8"/>
    <w:rsid w:val="00833A53"/>
    <w:rsid w:val="0084096C"/>
    <w:rsid w:val="00B52F6D"/>
    <w:rsid w:val="00BD5478"/>
    <w:rsid w:val="00C9698B"/>
    <w:rsid w:val="00D6614F"/>
    <w:rsid w:val="00F81CD0"/>
    <w:rsid w:val="00FA46FC"/>
    <w:rsid w:val="2BBF2E95"/>
    <w:rsid w:val="341E2472"/>
    <w:rsid w:val="7DF62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character" w:default="1" w:styleId="6">
    <w:name w:val="Default Paragraph Font"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2794</Words>
  <Characters>2845</Characters>
  <Lines>31</Lines>
  <Paragraphs>8</Paragraphs>
  <TotalTime>45</TotalTime>
  <ScaleCrop>false</ScaleCrop>
  <LinksUpToDate>false</LinksUpToDate>
  <CharactersWithSpaces>2845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2025-01-17T00:59:00Z</dcterms:created>
  <dc:creator>xiaoxiao li</dc:creator>
  <cp:lastModifiedBy>严茂森</cp:lastModifiedBy>
  <cp:lastPrinted>2025-01-23T18:27:00Z</cp:lastPrinted>
  <dcterms:modified xsi:type="dcterms:W3CDTF">2025-02-05T01:57:45Z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eyJoZGlkIjoiYzNiNmU3ODBhNjNmMzM1ZWY3YmI4MzliOTY3NGMxNzMiLCJ1c2VySWQiOiI4NDk1NTQ3In0=</vt:lpwstr>
  </property>
  <property fmtid="{D5CDD505-2E9C-101B-9397-08002B2CF9AE}" pid="4" name="ICV">
    <vt:lpwstr>1A6D81161FE24382862D488E06271A3A_13</vt:lpwstr>
  </property>
</Properties>
</file>