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927A74">
      <w:pPr>
        <w:tabs>
          <w:tab w:val="right" w:pos="8364"/>
        </w:tabs>
        <w:adjustRightInd w:val="0"/>
        <w:snapToGrid w:val="0"/>
        <w:spacing w:before="65" w:beforeLines="20"/>
        <w:rPr>
          <w:color w:val="FF0000"/>
        </w:rPr>
      </w:pPr>
      <w:r>
        <w:rPr>
          <w:rFonts w:hint="eastAsia"/>
          <w:color w:val="FF0000"/>
        </w:rPr>
        <w:t>提案内容：</w:t>
      </w:r>
    </w:p>
    <w:p w14:paraId="4B5FB47B">
      <w:pPr>
        <w:spacing w:before="65"/>
        <w:jc w:val="center"/>
        <w:rPr>
          <w:rFonts w:ascii="黑体" w:hAnsi="黑体" w:eastAsia="黑体"/>
          <w:b/>
          <w:sz w:val="44"/>
          <w:szCs w:val="44"/>
        </w:rPr>
      </w:pPr>
      <w:bookmarkStart w:id="0" w:name="casetitle2"/>
      <w:r>
        <w:rPr>
          <w:rFonts w:ascii="黑体" w:hAnsi="黑体" w:eastAsia="黑体"/>
          <w:b/>
          <w:sz w:val="44"/>
          <w:szCs w:val="44"/>
        </w:rPr>
        <w:t>关于长三角一体化示范区内农业园区创新联动发展的提案</w:t>
      </w:r>
      <w:bookmarkEnd w:id="0"/>
      <w:bookmarkStart w:id="1" w:name="_GoBack"/>
      <w:bookmarkEnd w:id="1"/>
    </w:p>
    <w:p w14:paraId="3523F8C5">
      <w:pPr>
        <w:spacing w:before="65"/>
        <w:jc w:val="center"/>
        <w:rPr>
          <w:rFonts w:ascii="黑体" w:hAnsi="黑体" w:eastAsia="黑体"/>
          <w:b/>
          <w:sz w:val="44"/>
          <w:szCs w:val="44"/>
        </w:rPr>
      </w:pPr>
    </w:p>
    <w:p w14:paraId="74E8AEB8">
      <w:pPr>
        <w:spacing w:before="65"/>
        <w:rPr>
          <w:rFonts w:ascii="黑体" w:hAnsi="黑体" w:eastAsia="黑体"/>
          <w:b/>
          <w:sz w:val="44"/>
          <w:szCs w:val="44"/>
        </w:rPr>
      </w:pPr>
    </w:p>
    <w:p w14:paraId="52156D03">
      <w:pPr>
        <w:pStyle w:val="16"/>
        <w:rPr>
          <w:rStyle w:val="7"/>
          <w:rFonts w:ascii="Calibri" w:hAnsi="Calibri" w:eastAsia="宋体" w:cs="Times New Roman"/>
        </w:rPr>
      </w:pPr>
      <w:r>
        <w:rPr>
          <w:rStyle w:val="7"/>
          <w:rFonts w:ascii="宋体" w:hAnsi="宋体" w:eastAsia="宋体" w:cs="宋体"/>
          <w:b/>
          <w:color w:val="FF0000"/>
          <w:sz w:val="36"/>
        </w:rPr>
        <w:t>※背景情况※</w:t>
      </w:r>
    </w:p>
    <w:p w14:paraId="67605206">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长三角一体化示范区的主要任务包括推动生态优势转化为经济社会发展优势，实现生态保护与经济发展的协调统一；创新重点领域一体化发展制度；加强改革举措集成创新等。近年来，示范区在区域产业创新发展、生态环境协同治理等方面开展制度创新、共治共为的多项举措，取得了良好的成效。在农业发展领域，三地都建有一定引领性的农业产业园区，由于一体化发展机制的缺失，直接影响了区域农业产业一体化发展的进程。</w:t>
      </w:r>
    </w:p>
    <w:p w14:paraId="3DC24112">
      <w:pPr>
        <w:pStyle w:val="16"/>
        <w:rPr>
          <w:rStyle w:val="7"/>
          <w:rFonts w:ascii="Calibri" w:hAnsi="Calibri" w:eastAsia="宋体" w:cs="Times New Roman"/>
        </w:rPr>
      </w:pPr>
      <w:r>
        <w:rPr>
          <w:rStyle w:val="7"/>
          <w:rFonts w:ascii="宋体" w:hAnsi="宋体" w:eastAsia="宋体" w:cs="宋体"/>
          <w:b/>
          <w:color w:val="FF0000"/>
          <w:sz w:val="36"/>
        </w:rPr>
        <w:t>――――――――――――――――――――――</w:t>
      </w:r>
    </w:p>
    <w:p w14:paraId="540AC176">
      <w:pPr>
        <w:pStyle w:val="16"/>
        <w:rPr>
          <w:rStyle w:val="7"/>
          <w:rFonts w:ascii="Calibri" w:hAnsi="Calibri" w:eastAsia="宋体" w:cs="Times New Roman"/>
        </w:rPr>
      </w:pPr>
      <w:r>
        <w:rPr>
          <w:rStyle w:val="7"/>
          <w:rFonts w:ascii="宋体" w:hAnsi="宋体" w:eastAsia="宋体" w:cs="宋体"/>
          <w:b/>
          <w:color w:val="FF0000"/>
          <w:sz w:val="36"/>
        </w:rPr>
        <w:t>※问题及分析※</w:t>
      </w:r>
    </w:p>
    <w:p w14:paraId="54D9A99D">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rPr>
      </w:pPr>
      <w:r>
        <w:rPr>
          <w:rStyle w:val="7"/>
          <w:rFonts w:hint="eastAsia" w:ascii="楷体_GB2312" w:hAnsi="楷体_GB2312" w:eastAsia="楷体_GB2312" w:cs="楷体_GB2312"/>
          <w:b/>
          <w:bCs/>
          <w:sz w:val="32"/>
          <w:szCs w:val="32"/>
          <w:lang w:val="en-US" w:eastAsia="zh-CN"/>
        </w:rPr>
        <w:t>1、</w:t>
      </w:r>
      <w:r>
        <w:rPr>
          <w:rStyle w:val="7"/>
          <w:rFonts w:hint="eastAsia" w:ascii="楷体_GB2312" w:hAnsi="楷体_GB2312" w:eastAsia="楷体_GB2312" w:cs="楷体_GB2312"/>
          <w:b/>
          <w:bCs/>
          <w:sz w:val="32"/>
          <w:szCs w:val="32"/>
        </w:rPr>
        <w:t>三地缺乏农业园区协同发展的意识</w:t>
      </w:r>
    </w:p>
    <w:p w14:paraId="79210D77">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由于行政区划的条块分割，三地农业园区的体制架构各有所长，加上政府层面的倡导缺失，无论政府领导、主管部门还是园区负责人都尚未真正确立长三角区域农业园区一体化发展共同体理念。</w:t>
      </w:r>
    </w:p>
    <w:p w14:paraId="27EF32C9">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青嘉吴三地在农业发展领域整体上仍处于各自为政阶段，地方政府各部门在制定政策时，缺乏区域合作意识，难以实现真正意义上的区域农业协同发展。</w:t>
      </w:r>
    </w:p>
    <w:p w14:paraId="130F9507">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lang w:val="en-US" w:eastAsia="zh-CN"/>
        </w:rPr>
      </w:pPr>
      <w:r>
        <w:rPr>
          <w:rStyle w:val="7"/>
          <w:rFonts w:hint="eastAsia" w:ascii="楷体_GB2312" w:hAnsi="楷体_GB2312" w:eastAsia="楷体_GB2312" w:cs="楷体_GB2312"/>
          <w:b/>
          <w:bCs/>
          <w:sz w:val="32"/>
          <w:szCs w:val="32"/>
          <w:lang w:val="en-US" w:eastAsia="zh-CN"/>
        </w:rPr>
        <w:t>2、主导产业科研同质化倾向严重</w:t>
      </w:r>
    </w:p>
    <w:p w14:paraId="3279BB9F">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区域内地理资源环境较为类似，农业同质化发展现象较为普遍。主导产业以水稻、蔬菜为主，科研同质化倾向严重，有重复研究的现象。如水稻，目前开展的新品种研发、无人农场技术试验本蔬菜以设施化种植为主，科研方向大体固定，创新性不强。</w:t>
      </w:r>
    </w:p>
    <w:p w14:paraId="5C506205">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lang w:val="en-US" w:eastAsia="zh-CN"/>
        </w:rPr>
      </w:pPr>
      <w:r>
        <w:rPr>
          <w:rStyle w:val="7"/>
          <w:rFonts w:hint="eastAsia" w:ascii="楷体_GB2312" w:hAnsi="楷体_GB2312" w:eastAsia="楷体_GB2312" w:cs="楷体_GB2312"/>
          <w:b/>
          <w:bCs/>
          <w:sz w:val="32"/>
          <w:szCs w:val="32"/>
          <w:lang w:val="en-US" w:eastAsia="zh-CN"/>
        </w:rPr>
        <w:t>3、三地要素互通不畅，缺乏联合发展的机制</w:t>
      </w:r>
    </w:p>
    <w:p w14:paraId="25BED6D1">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青嘉吴三地在农业发展与布局和农业生态保护方面均缺乏区域合作规划，农业合作的目标、重点、资金需求等不明晰。产业发展引导和激励机制尚待完善，虽然上海市级层面有一些农业相关的科研资助经费，仅用于重大课题、重要规划、重点方案的研究，在引导各地政府加强区域合作，激励社会资金向有利于长三角区域农业协同发展的方向加大投资等方面，发挥的作用还比较有限。</w:t>
      </w:r>
    </w:p>
    <w:p w14:paraId="23E31F86">
      <w:pPr>
        <w:pStyle w:val="16"/>
        <w:rPr>
          <w:rStyle w:val="7"/>
          <w:rFonts w:ascii="Calibri" w:hAnsi="Calibri" w:eastAsia="宋体" w:cs="Times New Roman"/>
        </w:rPr>
      </w:pPr>
      <w:r>
        <w:rPr>
          <w:rStyle w:val="7"/>
          <w:rFonts w:ascii="宋体" w:hAnsi="宋体" w:eastAsia="宋体" w:cs="宋体"/>
          <w:b/>
          <w:color w:val="FF0000"/>
          <w:sz w:val="36"/>
        </w:rPr>
        <w:t>――――――――――――――――――――――</w:t>
      </w:r>
    </w:p>
    <w:p w14:paraId="00EAAC26">
      <w:pPr>
        <w:pStyle w:val="16"/>
        <w:rPr>
          <w:rStyle w:val="7"/>
          <w:rFonts w:ascii="Calibri" w:hAnsi="Calibri" w:eastAsia="宋体" w:cs="Times New Roman"/>
        </w:rPr>
      </w:pPr>
      <w:r>
        <w:rPr>
          <w:rStyle w:val="7"/>
          <w:rFonts w:ascii="宋体" w:hAnsi="宋体" w:eastAsia="宋体" w:cs="宋体"/>
          <w:b/>
          <w:color w:val="FF0000"/>
          <w:sz w:val="36"/>
        </w:rPr>
        <w:t>※建议※</w:t>
      </w:r>
    </w:p>
    <w:p w14:paraId="3175FAE2">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lang w:val="en-US" w:eastAsia="zh-CN"/>
        </w:rPr>
      </w:pPr>
      <w:r>
        <w:rPr>
          <w:rStyle w:val="7"/>
          <w:rFonts w:hint="eastAsia" w:ascii="楷体_GB2312" w:hAnsi="楷体_GB2312" w:eastAsia="楷体_GB2312" w:cs="楷体_GB2312"/>
          <w:b/>
          <w:bCs/>
          <w:sz w:val="32"/>
          <w:szCs w:val="32"/>
          <w:lang w:val="en-US" w:eastAsia="zh-CN"/>
        </w:rPr>
        <w:t>1、加强顶层设计，建立三地农业园区协同高质量发展机制</w:t>
      </w:r>
    </w:p>
    <w:p w14:paraId="1140622A">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政府部门要围绕规划契合、设施汇合、产业耦合、功能聚合、环保联合等方面开展工作，共谋示范区农业一体化发展。</w:t>
      </w:r>
    </w:p>
    <w:p w14:paraId="69F7E7F4">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由政府牵头，成立示范区农业园区高质量发展联盟，搭建三地农业园区及各自区域内落户企业的沟通平台，同时邀请行业主管部门、农销市场、优秀科研机构、智库等，组织开展业界对话、提出政策建议、反映业界呼声、及时传递市场声音、优化示范区营商环境，并承担起生态和谐与农业可持续发展的社会服务责任。</w:t>
      </w:r>
    </w:p>
    <w:p w14:paraId="3A0BE9E7">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农业园区发展联盟还可以与示范区内其他行业进行互联沟通，如孵化器联盟、金融产业园等，争取更多政策倾斜。</w:t>
      </w:r>
    </w:p>
    <w:p w14:paraId="4E0C4FC1">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lang w:val="en-US" w:eastAsia="zh-CN"/>
        </w:rPr>
      </w:pPr>
      <w:r>
        <w:rPr>
          <w:rStyle w:val="7"/>
          <w:rFonts w:hint="eastAsia" w:ascii="楷体_GB2312" w:hAnsi="楷体_GB2312" w:eastAsia="楷体_GB2312" w:cs="楷体_GB2312"/>
          <w:b/>
          <w:bCs/>
          <w:sz w:val="32"/>
          <w:szCs w:val="32"/>
          <w:lang w:val="en-US" w:eastAsia="zh-CN"/>
        </w:rPr>
        <w:t>2、加强科技创新，打造三地农业园区科研（孵化）合作大平台</w:t>
      </w:r>
    </w:p>
    <w:p w14:paraId="795506CF">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b/>
          <w:bCs/>
          <w:sz w:val="32"/>
          <w:szCs w:val="32"/>
        </w:rPr>
      </w:pPr>
      <w:r>
        <w:rPr>
          <w:rStyle w:val="7"/>
          <w:rFonts w:hint="eastAsia" w:ascii="仿宋_GB2312" w:hAnsi="仿宋_GB2312" w:eastAsia="仿宋_GB2312" w:cs="仿宋_GB2312"/>
          <w:b/>
          <w:bCs/>
          <w:sz w:val="32"/>
          <w:szCs w:val="32"/>
          <w:lang w:eastAsia="zh-CN"/>
        </w:rPr>
        <w:t>（</w:t>
      </w:r>
      <w:r>
        <w:rPr>
          <w:rStyle w:val="7"/>
          <w:rFonts w:hint="eastAsia" w:ascii="仿宋_GB2312" w:hAnsi="仿宋_GB2312" w:eastAsia="仿宋_GB2312" w:cs="仿宋_GB2312"/>
          <w:b/>
          <w:bCs/>
          <w:sz w:val="32"/>
          <w:szCs w:val="32"/>
        </w:rPr>
        <w:t>1</w:t>
      </w:r>
      <w:r>
        <w:rPr>
          <w:rStyle w:val="7"/>
          <w:rFonts w:hint="eastAsia" w:ascii="仿宋_GB2312" w:hAnsi="仿宋_GB2312" w:eastAsia="仿宋_GB2312" w:cs="仿宋_GB2312"/>
          <w:b/>
          <w:bCs/>
          <w:sz w:val="32"/>
          <w:szCs w:val="32"/>
          <w:lang w:eastAsia="zh-CN"/>
        </w:rPr>
        <w:t>）</w:t>
      </w:r>
      <w:r>
        <w:rPr>
          <w:rStyle w:val="7"/>
          <w:rFonts w:hint="eastAsia" w:ascii="仿宋_GB2312" w:hAnsi="仿宋_GB2312" w:eastAsia="仿宋_GB2312" w:cs="仿宋_GB2312"/>
          <w:b/>
          <w:bCs/>
          <w:sz w:val="32"/>
          <w:szCs w:val="32"/>
        </w:rPr>
        <w:t>共建长三角区域现代农业科研协作平台</w:t>
      </w:r>
    </w:p>
    <w:p w14:paraId="1B4DA709">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探索农业科技创新合作体建设，充分发挥长三角区域高新技术企业、科研高校、人才汇集的智力优势、产业优势和政策叠加优势，共建高效运行、一体化共享的一流农业综合科研中心，围绕科技前沿、关键技术以及长三角区域低碳农业、生态农业的共性问题等，组织开展联合攻关，促进科技成果的转化。</w:t>
      </w:r>
    </w:p>
    <w:p w14:paraId="6C7F7C3D">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b/>
          <w:bCs/>
          <w:sz w:val="32"/>
          <w:szCs w:val="32"/>
          <w:lang w:eastAsia="zh-CN"/>
        </w:rPr>
      </w:pPr>
      <w:r>
        <w:rPr>
          <w:rStyle w:val="7"/>
          <w:rFonts w:hint="eastAsia" w:ascii="仿宋_GB2312" w:hAnsi="仿宋_GB2312" w:eastAsia="仿宋_GB2312" w:cs="仿宋_GB2312"/>
          <w:b/>
          <w:bCs/>
          <w:sz w:val="32"/>
          <w:szCs w:val="32"/>
          <w:lang w:eastAsia="zh-CN"/>
        </w:rPr>
        <w:t>（2）共建长三角区域现代农业数据信息交互平台</w:t>
      </w:r>
    </w:p>
    <w:p w14:paraId="22D0B9E7">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要整合区域内数据产业集聚、信息技术发达的优势，共建长三角区域现代农业数据信息交互平台，包括农地产业数据、农业生态气象数据、农文旅资源数据等，为三地农业产业的深入交流和区域一体化发展提供必要的数据和信息支撑，为长三角一体化示范区内农业高质量发展目标的实现和国家区域协调发展重大战略布局的落实提供有力支撑。</w:t>
      </w:r>
    </w:p>
    <w:p w14:paraId="5626F6D5">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b/>
          <w:bCs/>
          <w:sz w:val="32"/>
          <w:szCs w:val="32"/>
          <w:lang w:eastAsia="zh-CN"/>
        </w:rPr>
      </w:pPr>
      <w:r>
        <w:rPr>
          <w:rStyle w:val="7"/>
          <w:rFonts w:hint="eastAsia" w:ascii="仿宋_GB2312" w:hAnsi="仿宋_GB2312" w:eastAsia="仿宋_GB2312" w:cs="仿宋_GB2312"/>
          <w:b/>
          <w:bCs/>
          <w:sz w:val="32"/>
          <w:szCs w:val="32"/>
          <w:lang w:eastAsia="zh-CN"/>
        </w:rPr>
        <w:t>（3）共建人才培养与人力资源开发平台</w:t>
      </w:r>
    </w:p>
    <w:p w14:paraId="3C49976E">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要积极对接农业龙头企业和涉农高校，共商共建，实现一体化育人，和高校合作，建立实践基地和科技小院，结合农业生产实际联合培养高端紧缺人才，打造一体化农业人才培养创新平台。</w:t>
      </w:r>
    </w:p>
    <w:p w14:paraId="59D52E09">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_GB2312" w:hAnsi="楷体_GB2312" w:eastAsia="楷体_GB2312" w:cs="楷体_GB2312"/>
          <w:b/>
          <w:bCs/>
          <w:sz w:val="32"/>
          <w:szCs w:val="32"/>
          <w:lang w:val="en-US" w:eastAsia="zh-CN"/>
        </w:rPr>
      </w:pPr>
      <w:r>
        <w:rPr>
          <w:rStyle w:val="7"/>
          <w:rFonts w:hint="eastAsia" w:ascii="楷体_GB2312" w:hAnsi="楷体_GB2312" w:eastAsia="楷体_GB2312" w:cs="楷体_GB2312"/>
          <w:b/>
          <w:bCs/>
          <w:sz w:val="32"/>
          <w:szCs w:val="32"/>
          <w:lang w:val="en-US" w:eastAsia="zh-CN"/>
        </w:rPr>
        <w:t>3、加强要素互通，打造示范区内农业行业一体化高质量发展样板</w:t>
      </w:r>
    </w:p>
    <w:p w14:paraId="5C778FE1">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lang w:eastAsia="zh-CN"/>
        </w:rPr>
      </w:pPr>
      <w:r>
        <w:rPr>
          <w:rStyle w:val="7"/>
          <w:rFonts w:hint="eastAsia" w:ascii="仿宋_GB2312" w:hAnsi="仿宋_GB2312" w:eastAsia="仿宋_GB2312" w:cs="仿宋_GB2312"/>
          <w:sz w:val="32"/>
          <w:szCs w:val="32"/>
        </w:rPr>
        <w:t>加强要素互通，实现资源在更大范围内的优化配置。加快推进农业碳汇交易试点工作，探索建立农业碳汇交易机制，包括减排固碳和核算论证体系的建立，以及农业碳汇项目的开发。区域内的农文旅资源互通互融，充分融入一体化休闲旅游路线，推动休闲农业观光一体化发展；联合开展示范区优质农产品推广活动，汇聚三地特色优质农产品，推动区域内农产品的共享和推广，打响示范区农业品牌；加强农产品质量监测追溯、绿色农产品生产加工供应基地建设等方面的合作；加快农业科技服务业的体系建设，农机服务、农产品检测服务、农地环境检测服务等相参与各类农业科技服务业务。</w:t>
      </w:r>
    </w:p>
    <w:sectPr>
      <w:headerReference r:id="rId3" w:type="default"/>
      <w:footerReference r:id="rId4" w:type="default"/>
      <w:pgSz w:w="11906" w:h="16838"/>
      <w:pgMar w:top="1440" w:right="1800" w:bottom="1440" w:left="1800"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ebdings">
    <w:panose1 w:val="05030102010509060703"/>
    <w:charset w:val="02"/>
    <w:family w:val="roman"/>
    <w:pitch w:val="default"/>
    <w:sig w:usb0="00000000" w:usb1="00000000" w:usb2="00000000" w:usb3="00000000" w:csb0="8000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CDF18">
    <w:pPr>
      <w:pStyle w:val="2"/>
      <w:jc w:val="center"/>
      <w:rPr>
        <w:sz w:val="28"/>
        <w:szCs w:val="28"/>
      </w:rPr>
    </w:pPr>
    <w:r>
      <w:rPr>
        <w:rFonts w:hint="eastAsia"/>
        <w:sz w:val="28"/>
        <w:szCs w:val="28"/>
      </w:rPr>
      <w:t>第</w:t>
    </w:r>
    <w:r>
      <w:rPr>
        <w:b/>
        <w:sz w:val="28"/>
        <w:szCs w:val="28"/>
      </w:rPr>
      <w:fldChar w:fldCharType="begin"/>
    </w:r>
    <w:r>
      <w:rPr>
        <w:b/>
        <w:sz w:val="28"/>
        <w:szCs w:val="28"/>
      </w:rPr>
      <w:instrText xml:space="preserve">PAGE</w:instrText>
    </w:r>
    <w:r>
      <w:rPr>
        <w:b/>
        <w:sz w:val="28"/>
        <w:szCs w:val="28"/>
      </w:rPr>
      <w:fldChar w:fldCharType="separate"/>
    </w:r>
    <w:r>
      <w:rPr>
        <w:b/>
        <w:sz w:val="28"/>
        <w:szCs w:val="28"/>
      </w:rPr>
      <w:t>1</w:t>
    </w:r>
    <w:r>
      <w:rPr>
        <w:b/>
        <w:sz w:val="28"/>
        <w:szCs w:val="28"/>
      </w:rPr>
      <w:fldChar w:fldCharType="end"/>
    </w:r>
    <w:r>
      <w:rPr>
        <w:rFonts w:hint="eastAsia"/>
        <w:b/>
        <w:sz w:val="28"/>
        <w:szCs w:val="28"/>
      </w:rPr>
      <w:t>页</w:t>
    </w:r>
    <w:r>
      <w:rPr>
        <w:sz w:val="28"/>
        <w:szCs w:val="28"/>
        <w:lang w:val="zh-CN"/>
      </w:rPr>
      <w:t xml:space="preserve"> / </w:t>
    </w:r>
    <w:r>
      <w:rPr>
        <w:rFonts w:hint="eastAsia"/>
        <w:sz w:val="28"/>
        <w:szCs w:val="28"/>
        <w:lang w:val="zh-CN"/>
      </w:rPr>
      <w:t>共</w:t>
    </w:r>
    <w:r>
      <w:rPr>
        <w:b/>
        <w:sz w:val="28"/>
        <w:szCs w:val="28"/>
      </w:rPr>
      <w:fldChar w:fldCharType="begin"/>
    </w:r>
    <w:r>
      <w:rPr>
        <w:b/>
        <w:sz w:val="28"/>
        <w:szCs w:val="28"/>
      </w:rPr>
      <w:instrText xml:space="preserve">NUMPAGES</w:instrText>
    </w:r>
    <w:r>
      <w:rPr>
        <w:b/>
        <w:sz w:val="28"/>
        <w:szCs w:val="28"/>
      </w:rPr>
      <w:fldChar w:fldCharType="separate"/>
    </w:r>
    <w:r>
      <w:rPr>
        <w:b/>
        <w:sz w:val="28"/>
        <w:szCs w:val="28"/>
      </w:rPr>
      <w:t>2</w:t>
    </w:r>
    <w:r>
      <w:rPr>
        <w:b/>
        <w:sz w:val="28"/>
        <w:szCs w:val="28"/>
      </w:rPr>
      <w:fldChar w:fldCharType="end"/>
    </w:r>
    <w:r>
      <w:rPr>
        <w:rFonts w:hint="eastAsia"/>
        <w:sz w:val="28"/>
        <w:szCs w:val="28"/>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DD7B67">
    <w:pPr>
      <w:pStyle w:val="3"/>
      <w:pBdr>
        <w:bottom w:val="none" w:color="auto" w:sz="0" w:space="0"/>
      </w:pBdr>
      <w:spacing w:before="4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0"/>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124C1C03"/>
    <w:rsid w:val="37BF7D7D"/>
    <w:rsid w:val="3EFF1943"/>
    <w:rsid w:val="4FBF492F"/>
    <w:rsid w:val="4FFC9D93"/>
    <w:rsid w:val="517F18EF"/>
    <w:rsid w:val="6CDF8E12"/>
    <w:rsid w:val="6FBD60B5"/>
    <w:rsid w:val="73E7B414"/>
    <w:rsid w:val="AD52B7BA"/>
    <w:rsid w:val="B6FEBD53"/>
    <w:rsid w:val="BF5FBCFC"/>
    <w:rsid w:val="D27705AE"/>
    <w:rsid w:val="DBFFDEF2"/>
    <w:rsid w:val="E7AD0154"/>
    <w:rsid w:val="F9F1A814"/>
    <w:rsid w:val="FC7FFC00"/>
    <w:rsid w:val="FDFB67CF"/>
    <w:rsid w:val="FFF7E154"/>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nhideWhenUsed="0" w:uiPriority="99" w:semiHidden="0"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4"/>
    <w:unhideWhenUsed/>
    <w:qFormat/>
    <w:uiPriority w:val="99"/>
    <w:pPr>
      <w:tabs>
        <w:tab w:val="center" w:pos="4153"/>
        <w:tab w:val="right" w:pos="8306"/>
      </w:tabs>
      <w:snapToGrid w:val="0"/>
    </w:pPr>
    <w:rPr>
      <w:rFonts w:cs="Times New Roman"/>
      <w:sz w:val="18"/>
      <w:szCs w:val="18"/>
    </w:rPr>
  </w:style>
  <w:style w:type="paragraph" w:styleId="3">
    <w:name w:val="header"/>
    <w:basedOn w:val="1"/>
    <w:link w:val="13"/>
    <w:unhideWhenUsed/>
    <w:qFormat/>
    <w:uiPriority w:val="99"/>
    <w:pPr>
      <w:pBdr>
        <w:bottom w:val="single" w:color="auto" w:sz="6" w:space="1"/>
      </w:pBdr>
      <w:tabs>
        <w:tab w:val="center" w:pos="4153"/>
        <w:tab w:val="right" w:pos="8306"/>
      </w:tabs>
      <w:snapToGrid w:val="0"/>
      <w:jc w:val="center"/>
    </w:pPr>
    <w:rPr>
      <w:rFonts w:cs="Times New Roman"/>
      <w:sz w:val="18"/>
      <w:szCs w:val="18"/>
    </w:rPr>
  </w:style>
  <w:style w:type="paragraph" w:styleId="4">
    <w:name w:val="Normal (Web)"/>
    <w:basedOn w:val="1"/>
    <w:unhideWhenUsed/>
    <w:qFormat/>
    <w:uiPriority w:val="99"/>
    <w:pPr>
      <w:spacing w:before="100" w:beforeAutospacing="1" w:after="100" w:afterAutospacing="1"/>
    </w:pPr>
  </w:style>
  <w:style w:type="table" w:styleId="6">
    <w:name w:val="Table Grid"/>
    <w:basedOn w:val="5"/>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qFormat/>
    <w:uiPriority w:val="22"/>
    <w:rPr>
      <w:b/>
      <w:bCs/>
    </w:rPr>
  </w:style>
  <w:style w:type="paragraph" w:customStyle="1" w:styleId="9">
    <w:name w:val="z-窗体顶端1"/>
    <w:basedOn w:val="1"/>
    <w:next w:val="1"/>
    <w:link w:val="10"/>
    <w:semiHidden/>
    <w:unhideWhenUsed/>
    <w:qFormat/>
    <w:uiPriority w:val="99"/>
    <w:pPr>
      <w:pBdr>
        <w:bottom w:val="single" w:color="auto" w:sz="6" w:space="1"/>
      </w:pBdr>
      <w:jc w:val="center"/>
    </w:pPr>
    <w:rPr>
      <w:rFonts w:ascii="Arial" w:hAnsi="Arial" w:cs="Times New Roman"/>
      <w:vanish/>
      <w:sz w:val="16"/>
      <w:szCs w:val="16"/>
    </w:rPr>
  </w:style>
  <w:style w:type="character" w:customStyle="1" w:styleId="10">
    <w:name w:val="z-窗体顶端 字符"/>
    <w:link w:val="9"/>
    <w:semiHidden/>
    <w:qFormat/>
    <w:uiPriority w:val="99"/>
    <w:rPr>
      <w:rFonts w:ascii="Arial" w:hAnsi="Arial" w:eastAsia="宋体" w:cs="Arial"/>
      <w:vanish/>
      <w:kern w:val="0"/>
      <w:sz w:val="16"/>
      <w:szCs w:val="16"/>
    </w:rPr>
  </w:style>
  <w:style w:type="paragraph" w:customStyle="1" w:styleId="11">
    <w:name w:val="z-窗体底端1"/>
    <w:basedOn w:val="1"/>
    <w:next w:val="1"/>
    <w:link w:val="12"/>
    <w:semiHidden/>
    <w:unhideWhenUsed/>
    <w:qFormat/>
    <w:uiPriority w:val="99"/>
    <w:pPr>
      <w:pBdr>
        <w:top w:val="single" w:color="auto" w:sz="6" w:space="1"/>
      </w:pBdr>
      <w:jc w:val="center"/>
    </w:pPr>
    <w:rPr>
      <w:rFonts w:ascii="Arial" w:hAnsi="Arial" w:cs="Times New Roman"/>
      <w:vanish/>
      <w:sz w:val="16"/>
      <w:szCs w:val="16"/>
    </w:rPr>
  </w:style>
  <w:style w:type="character" w:customStyle="1" w:styleId="12">
    <w:name w:val="z-窗体底端 字符"/>
    <w:link w:val="11"/>
    <w:semiHidden/>
    <w:qFormat/>
    <w:uiPriority w:val="99"/>
    <w:rPr>
      <w:rFonts w:ascii="Arial" w:hAnsi="Arial" w:eastAsia="宋体" w:cs="Arial"/>
      <w:vanish/>
      <w:kern w:val="0"/>
      <w:sz w:val="16"/>
      <w:szCs w:val="16"/>
    </w:rPr>
  </w:style>
  <w:style w:type="character" w:customStyle="1" w:styleId="13">
    <w:name w:val="页眉 字符"/>
    <w:link w:val="3"/>
    <w:qFormat/>
    <w:uiPriority w:val="99"/>
    <w:rPr>
      <w:rFonts w:ascii="宋体" w:hAnsi="宋体" w:cs="宋体"/>
      <w:sz w:val="18"/>
      <w:szCs w:val="18"/>
    </w:rPr>
  </w:style>
  <w:style w:type="character" w:customStyle="1" w:styleId="14">
    <w:name w:val="页脚 字符"/>
    <w:link w:val="2"/>
    <w:qFormat/>
    <w:uiPriority w:val="99"/>
    <w:rPr>
      <w:rFonts w:ascii="宋体" w:hAnsi="宋体" w:cs="宋体"/>
      <w:sz w:val="18"/>
      <w:szCs w:val="18"/>
    </w:rPr>
  </w:style>
  <w:style w:type="paragraph" w:customStyle="1" w:styleId="15">
    <w:name w:val="Normal_0"/>
    <w:qFormat/>
    <w:uiPriority w:val="0"/>
    <w:pPr>
      <w:widowControl w:val="0"/>
      <w:jc w:val="both"/>
    </w:pPr>
    <w:rPr>
      <w:rFonts w:asciiTheme="minorHAnsi" w:hAnsiTheme="minorHAnsi" w:eastAsiaTheme="minorEastAsia" w:cstheme="minorBidi"/>
      <w:sz w:val="21"/>
      <w:szCs w:val="22"/>
      <w:lang w:val="en-US" w:eastAsia="zh-CN" w:bidi="ar-SA"/>
    </w:rPr>
  </w:style>
  <w:style w:type="paragraph" w:customStyle="1" w:styleId="16">
    <w:name w:val="Normal_1"/>
    <w:qFormat/>
    <w:uiPriority w:val="0"/>
    <w:pPr>
      <w:widowControl w:val="0"/>
      <w:jc w:val="both"/>
    </w:pPr>
    <w:rPr>
      <w:rFonts w:ascii="Calibri" w:hAnsi="Calibri"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Microsoft</Company>
  <Pages>5</Pages>
  <Words>2024</Words>
  <Characters>2102</Characters>
  <Lines>3</Lines>
  <Paragraphs>1</Paragraphs>
  <TotalTime>60</TotalTime>
  <ScaleCrop>false</ScaleCrop>
  <LinksUpToDate>false</LinksUpToDate>
  <CharactersWithSpaces>2174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2021-04-05T21:38:00Z</dcterms:created>
  <dc:creator>2</dc:creator>
  <cp:lastModifiedBy>WPS_1742806582</cp:lastModifiedBy>
  <cp:lastPrinted>2023-12-30T17:02:00Z</cp:lastPrinted>
  <dcterms:modified xsi:type="dcterms:W3CDTF">2025-03-25T09:10:04Z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E3D15859C45D435E8C9E9BBA1930C628</vt:lpwstr>
  </property>
  <property fmtid="{D5CDD505-2E9C-101B-9397-08002B2CF9AE}" pid="3" name="KSOProductBuildVer">
    <vt:lpwstr>2052-12.1.0.20305</vt:lpwstr>
  </property>
  <property fmtid="{D5CDD505-2E9C-101B-9397-08002B2CF9AE}" pid="4" name="KSOTemplateDocerSaveRecord">
    <vt:lpwstr>eyJoZGlkIjoiYzNiNmU3ODBhNjNmMzM1ZWY3YmI4MzliOTY3NGMxNzMiLCJ1c2VySWQiOiIxNjkwMzU1OTI0In0=</vt:lpwstr>
  </property>
</Properties>
</file>