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  <w:rPr>
          <w:color w:val="FF0000"/>
        </w:rPr>
      </w:pPr>
      <w:bookmarkStart w:id="1" w:name="_GoBack"/>
      <w:bookmarkEnd w:id="1"/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关于充分尊重农民意愿 优化乡村养老服务的提案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before="65"/>
        <w:rPr>
          <w:rFonts w:ascii="黑体" w:hAnsi="黑体" w:eastAsia="黑体"/>
          <w:b/>
          <w:sz w:val="44"/>
          <w:szCs w:val="44"/>
        </w:rPr>
      </w:pPr>
    </w:p>
    <w:p>
      <w:pPr>
        <w:pStyle w:val="16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※背景情况※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新年前夕，国家主席习近平通过中央广播电视总台和互联网，发表了二〇二四年新年贺词，在贺词中他指出:老年人的就医养老，是家事也是国事。在这一背景下，以“离地不失地、离房不失房”为亮点的“幸福庭院”宅基养老模式应运而生。该模式在原有基础上丰富了农村地区养老服务的内涵，有望成为促进乡村经济、社会“双发展”的有力抓手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截至2023年6月底，奉贤区60周岁以上户籍老年人口20.37万人，占户籍人口36.2%，其中80周岁以上户籍老年人28989人，占户籍老年人口总数14.23%，村居老龄及空巢化趋势日益深化。而当前大众关注的乡村养老服务主要存在如下问题:</w:t>
      </w:r>
    </w:p>
    <w:p>
      <w:pPr>
        <w:pStyle w:val="16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6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※问题及分析※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截至2023年6月底，奉贤区60周岁以上户籍老年人口20.37万人，占户籍人口36.2%，其中80周岁以上户籍老年人28989人，占户籍老年人口总数14.23%，村居老龄及空巢化趋势日益深化。而当前大众关注的乡村养老服务主要存在如下问题: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Style w:val="7"/>
          <w:rFonts w:hint="eastAsia" w:ascii="楷体" w:hAnsi="楷体" w:eastAsia="楷体" w:cs="楷体"/>
          <w:b/>
          <w:bCs/>
          <w:sz w:val="32"/>
          <w:szCs w:val="32"/>
        </w:rPr>
        <w:t>养老机构盲目扩张，缺乏理性市场调研。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社会养老需求不断增加，养老行业理应成为朝阳产业。但以养老机构床位数的多少作为养老服务好坏的评价体系，忽略了服务质量。供给与需求不匹配，导致养老机构床位“空置率”较高，运营收支不平衡，挤压了老年人养老保障资源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Style w:val="7"/>
          <w:rFonts w:hint="eastAsia" w:ascii="楷体" w:hAnsi="楷体" w:eastAsia="楷体" w:cs="楷体"/>
          <w:b/>
          <w:bCs/>
          <w:sz w:val="32"/>
          <w:szCs w:val="32"/>
        </w:rPr>
        <w:t>农村地区老年人精神文化供给不平衡。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农村地区以生态文明为基底的公园景观设施较为丰富，但多类型的精神文化需求导致区域内精神文化供给不平衡。农村地区图书馆、文化中心等文化场所不够健全，形式接地气、参与门槛低、内容积极向上的优质文化活动和文化交流平台尚存在一定缺口，雅俗共赏、适应老年人群需求的文化供给体系尚未形成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</w:t>
      </w:r>
      <w:r>
        <w:rPr>
          <w:rStyle w:val="7"/>
          <w:rFonts w:hint="eastAsia" w:ascii="楷体" w:hAnsi="楷体" w:eastAsia="楷体" w:cs="楷体"/>
          <w:b/>
          <w:bCs/>
          <w:sz w:val="32"/>
          <w:szCs w:val="32"/>
        </w:rPr>
        <w:t>农村地区老年人的真实需求没有被充分考量。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农村地区经济欠发达，地方财政收入也不高，大多数老年人养老金缴纳基数偏低，养老经济压力大。虽然部分地区有宅基地流转政策，但多数老年人故土难离，加之一贯勤俭朴素的作风，不愿意花钱去养老院安度晚年。</w:t>
      </w:r>
    </w:p>
    <w:p>
      <w:pPr>
        <w:pStyle w:val="16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6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※建议※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sz w:val="32"/>
          <w:szCs w:val="32"/>
        </w:rPr>
        <w:t>为此，建议: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Style w:val="7"/>
          <w:rFonts w:hint="eastAsia" w:ascii="楷体" w:hAnsi="楷体" w:eastAsia="楷体" w:cs="楷体"/>
          <w:b/>
          <w:bCs/>
          <w:sz w:val="32"/>
          <w:szCs w:val="32"/>
        </w:rPr>
        <w:t>尊重农村群众意愿，落细养老服务设施布局规划。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聚焦养老服务设施均衡发展，以街镇为单位形成“1+N”布局，其中“1”是社区综合为老服务中心，“N”则根据各街镇具体情况建设生活驿站、睦邻“四堂间”、“青春里”养老社区等家门口服务站点。依托“乡村振兴示范村、美丽乡村示范村”创建，结合农村老人养老的实际需求，利用已有资源，因地制宜探索如“椿萱庭”这样的创新型嵌入式轻量级宅基养老点，满足老年人不断提升的品质化养老服务需求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Style w:val="7"/>
          <w:rFonts w:hint="eastAsia" w:ascii="楷体" w:hAnsi="楷体" w:eastAsia="楷体" w:cs="楷体"/>
          <w:b/>
          <w:bCs/>
          <w:sz w:val="32"/>
          <w:szCs w:val="32"/>
        </w:rPr>
        <w:t>完善养老服务体系，推进“家门口”农村养老模式创新。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引进助餐、助洁、护理等方面为老服务的专业机构，围绕老人的“医、食、住、行、安、养、文、乐”针对性关怀，探索“社区+社会组织+养老服务”模式。完善养老服务相关政策，明确政府在农村互助养老服务中的责任和义务;明确宅基养老点位的服务内容、制度规范和补贴标准，以及处理互助养老风险问题的应急预案、互助养老机构的监督管理办法等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</w:t>
      </w:r>
      <w:r>
        <w:rPr>
          <w:rStyle w:val="7"/>
          <w:rFonts w:hint="eastAsia" w:ascii="楷体" w:hAnsi="楷体" w:eastAsia="楷体" w:cs="楷体"/>
          <w:b/>
          <w:bCs/>
          <w:sz w:val="32"/>
          <w:szCs w:val="32"/>
        </w:rPr>
        <w:t>强化队伍建设管理，提高农村养老服务的质量和满意度。</w:t>
      </w:r>
      <w:r>
        <w:rPr>
          <w:rStyle w:val="7"/>
          <w:rFonts w:hint="eastAsia" w:ascii="仿宋" w:hAnsi="仿宋" w:eastAsia="仿宋" w:cs="仿宋"/>
          <w:sz w:val="32"/>
          <w:szCs w:val="32"/>
        </w:rPr>
        <w:t>落实人才激励政策，对符合相关规定的为老服务工作人员给予补贴，确保为老服务工作人员“进得来”“留得住”。鼓励养老点位中“小老人”照顾“老老人”，并给予必要指导和保障，保留浓郁乡情。建立健全农村地区养老服务的投诉和反馈机制，及时听取老人的意见建议，不断创新为老服务方式，优化养老服务供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1DDE0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22"/>
    <w:rPr>
      <w:b/>
      <w:bCs/>
    </w:rPr>
  </w:style>
  <w:style w:type="paragraph" w:customStyle="1" w:styleId="9">
    <w:name w:val="z-窗体顶端1"/>
    <w:basedOn w:val="1"/>
    <w:next w:val="1"/>
    <w:link w:val="10"/>
    <w:autoRedefine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z-窗体底端1"/>
    <w:basedOn w:val="1"/>
    <w:next w:val="1"/>
    <w:link w:val="12"/>
    <w:autoRedefine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autoRedefine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autoRedefine/>
    <w:qFormat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autoRedefine/>
    <w:qFormat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16">
    <w:name w:val="Normal_1"/>
    <w:autoRedefine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399</Characters>
  <Lines>3</Lines>
  <Paragraphs>1</Paragraphs>
  <TotalTime>58</TotalTime>
  <ScaleCrop>false</ScaleCrop>
  <LinksUpToDate>false</LinksUpToDate>
  <CharactersWithSpaces>468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2021-04-01T05:38:00Z</dcterms:created>
  <dc:creator>2</dc:creator>
  <cp:lastModifiedBy>严茂森</cp:lastModifiedBy>
  <cp:lastPrinted>2023-12-26T01:02:00Z</cp:lastPrinted>
  <dcterms:modified xsi:type="dcterms:W3CDTF">2024-04-07T08:07:23Z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E3D15859C45D435E8C9E9BBA1930C628</vt:lpwstr>
  </property>
  <property fmtid="{D5CDD505-2E9C-101B-9397-08002B2CF9AE}" pid="3" name="KSOProductBuildVer">
    <vt:lpwstr>2052-12.1.0.16417</vt:lpwstr>
  </property>
</Properties>
</file>