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F8FD40">
      <w:pPr>
        <w:tabs>
          <w:tab w:val="right" w:pos="8364"/>
        </w:tabs>
        <w:adjustRightInd w:val="0"/>
        <w:snapToGrid w:val="0"/>
        <w:spacing w:before="65" w:beforeLines="20"/>
        <w:rPr>
          <w:color w:val="FF0000"/>
        </w:rPr>
      </w:pPr>
      <w:bookmarkStart w:id="1" w:name="_GoBack"/>
      <w:bookmarkEnd w:id="1"/>
      <w:r>
        <w:rPr>
          <w:rFonts w:hint="eastAsia"/>
          <w:color w:val="FF0000"/>
        </w:rPr>
        <w:t>提案内容：</w:t>
      </w:r>
    </w:p>
    <w:p w14:paraId="58FB1878">
      <w:pPr>
        <w:spacing w:before="65"/>
        <w:jc w:val="center"/>
        <w:rPr>
          <w:rFonts w:ascii="黑体" w:hAnsi="黑体" w:eastAsia="黑体"/>
          <w:b/>
          <w:sz w:val="44"/>
          <w:szCs w:val="44"/>
        </w:rPr>
      </w:pPr>
      <w:bookmarkStart w:id="0" w:name="casetitle2"/>
      <w:r>
        <w:rPr>
          <w:rFonts w:ascii="黑体" w:hAnsi="黑体" w:eastAsia="黑体"/>
          <w:b/>
          <w:sz w:val="44"/>
          <w:szCs w:val="44"/>
        </w:rPr>
        <w:t>关于进一步提升本市可再生能源电力开发利用水平的提案</w:t>
      </w:r>
      <w:bookmarkEnd w:id="0"/>
    </w:p>
    <w:p w14:paraId="6E779920">
      <w:pPr>
        <w:spacing w:before="65"/>
        <w:jc w:val="center"/>
        <w:rPr>
          <w:rFonts w:ascii="黑体" w:hAnsi="黑体" w:eastAsia="黑体"/>
          <w:b/>
          <w:sz w:val="44"/>
          <w:szCs w:val="44"/>
        </w:rPr>
      </w:pPr>
    </w:p>
    <w:p w14:paraId="465BEAD8">
      <w:pPr>
        <w:spacing w:before="65"/>
        <w:rPr>
          <w:rFonts w:ascii="黑体" w:hAnsi="黑体" w:eastAsia="黑体"/>
          <w:b/>
          <w:sz w:val="44"/>
          <w:szCs w:val="44"/>
        </w:rPr>
      </w:pPr>
    </w:p>
    <w:p w14:paraId="29FF11D5">
      <w:pPr>
        <w:pStyle w:val="16"/>
        <w:rPr>
          <w:rStyle w:val="7"/>
          <w:rFonts w:ascii="Calibri" w:hAnsi="Calibri" w:eastAsia="宋体" w:cs="Times New Roman"/>
        </w:rPr>
      </w:pPr>
      <w:r>
        <w:rPr>
          <w:rStyle w:val="7"/>
          <w:rFonts w:ascii="宋体" w:hAnsi="宋体" w:eastAsia="宋体" w:cs="宋体"/>
          <w:b/>
          <w:color w:val="FF0000"/>
          <w:sz w:val="36"/>
        </w:rPr>
        <w:t>※背景情况※</w:t>
      </w:r>
    </w:p>
    <w:p w14:paraId="2EA0E71F">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电力的绿色转型是是实现碳达峰、碳中和的关键路径，本市也已制定包括光伏、风电在内的可再生能源发展规划。根据《上海市碳达峰实施方案》，本市光伏装机容量到2025年力争达到400万千瓦；到2030年力争达到700万千瓦。同时，加快推进奉贤、南汇和金山三大海域风电开发，探索实施深远海风电示范试点，因地制宜推进陆上风电及分散式风电开发。到2025年，风电装机容量力争达到260万千瓦；到2030年，力争达到500万千瓦。近年来，本市新能源装机迅速发展，至2024年底，光伏装机已经突破500万千瓦，提前实现2025年阶段性目标。</w:t>
      </w:r>
    </w:p>
    <w:p w14:paraId="563D00D5">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lang w:eastAsia="zh-CN"/>
        </w:rPr>
      </w:pPr>
      <w:r>
        <w:rPr>
          <w:rStyle w:val="7"/>
          <w:rFonts w:hint="eastAsia" w:ascii="仿宋_GB2312" w:hAnsi="仿宋_GB2312" w:eastAsia="仿宋_GB2312" w:cs="仿宋_GB2312"/>
          <w:sz w:val="32"/>
          <w:szCs w:val="32"/>
        </w:rPr>
        <w:t>但同时我们也看到，可再生能源发电能力占本市电力消费总量仍很低，光伏和风电合在一起约为5%左右，无法满足快速增长的绿电消费需求；风电装机容量增长缓慢；光伏装机经过前几年的迅猛增长，发展空间已经逐步压缩。为进一步挖掘本市可再生能源发展潜力，提升市内绿电开发对本市实现碳减排目标的支撑能力，有必要进一步突破政策瓶颈，释放政策红利，吸引更多经营主体和社会资本参与，提高本市可再生能源电力开发利用水平。</w:t>
      </w:r>
    </w:p>
    <w:p w14:paraId="26FAD889">
      <w:pPr>
        <w:pStyle w:val="16"/>
        <w:rPr>
          <w:rStyle w:val="7"/>
          <w:rFonts w:ascii="Calibri" w:hAnsi="Calibri" w:eastAsia="宋体" w:cs="Times New Roman"/>
        </w:rPr>
      </w:pPr>
      <w:r>
        <w:rPr>
          <w:rStyle w:val="7"/>
          <w:rFonts w:ascii="宋体" w:hAnsi="宋体" w:eastAsia="宋体" w:cs="宋体"/>
          <w:b/>
          <w:color w:val="FF0000"/>
          <w:sz w:val="36"/>
        </w:rPr>
        <w:t>――――――――――――――――――――――</w:t>
      </w:r>
    </w:p>
    <w:p w14:paraId="5F14304F">
      <w:pPr>
        <w:pStyle w:val="16"/>
        <w:rPr>
          <w:rStyle w:val="7"/>
          <w:rFonts w:ascii="Calibri" w:hAnsi="Calibri" w:eastAsia="宋体" w:cs="Times New Roman"/>
        </w:rPr>
      </w:pPr>
      <w:r>
        <w:rPr>
          <w:rStyle w:val="7"/>
          <w:rFonts w:ascii="宋体" w:hAnsi="宋体" w:eastAsia="宋体" w:cs="宋体"/>
          <w:b/>
          <w:color w:val="FF0000"/>
          <w:sz w:val="36"/>
        </w:rPr>
        <w:t>※问题及分析※</w:t>
      </w:r>
    </w:p>
    <w:p w14:paraId="33B49DD0">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rPr>
        <w:t>1、随着碳达峰目标年度的临近，本市绿电消费需求快速增长</w:t>
      </w:r>
      <w:r>
        <w:rPr>
          <w:rStyle w:val="7"/>
          <w:rFonts w:ascii="Calibri" w:hAnsi="Calibri" w:eastAsia="宋体" w:cs="Times New Roman"/>
        </w:rPr>
        <w:t>。</w:t>
      </w:r>
      <w:r>
        <w:rPr>
          <w:rStyle w:val="7"/>
          <w:rFonts w:hint="eastAsia" w:ascii="仿宋_GB2312" w:hAnsi="仿宋_GB2312" w:eastAsia="仿宋_GB2312" w:cs="仿宋_GB2312"/>
          <w:sz w:val="32"/>
          <w:szCs w:val="32"/>
        </w:rPr>
        <w:t>但即使在实现2030年规划装机容量目标的情况下，市内可再生能源发电量占比仍偏低；与此同时，受输电通道限制，外来绿电送沪能力短期内很难有大幅度增长。本市应在碳达峰方案的假设范围外进一步发掘市内可再生能源开发潜力。</w:t>
      </w:r>
    </w:p>
    <w:p w14:paraId="17AA72AA">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rPr>
        <w:t>2、在探索深远海风电开发、海上风光同场开发的同时，陆上光伏、风电开发的潜力不可忽视。</w:t>
      </w:r>
      <w:r>
        <w:rPr>
          <w:rStyle w:val="7"/>
          <w:rFonts w:hint="eastAsia" w:ascii="仿宋_GB2312" w:hAnsi="仿宋_GB2312" w:eastAsia="仿宋_GB2312" w:cs="仿宋_GB2312"/>
          <w:sz w:val="32"/>
          <w:szCs w:val="32"/>
        </w:rPr>
        <w:t>本市虽为超大城市，但仍拥有广阔的农、林、河、湖、湿地等非城市区域，面积超过4000平方公里，存在大量可供开发光伏、风电的场地。</w:t>
      </w:r>
    </w:p>
    <w:p w14:paraId="3D84F132">
      <w:pPr>
        <w:pStyle w:val="16"/>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lang w:eastAsia="zh-CN"/>
        </w:rPr>
      </w:pPr>
      <w:r>
        <w:rPr>
          <w:rStyle w:val="7"/>
          <w:rFonts w:hint="eastAsia" w:ascii="仿宋_GB2312" w:hAnsi="仿宋_GB2312" w:eastAsia="仿宋_GB2312" w:cs="仿宋_GB2312"/>
          <w:sz w:val="32"/>
          <w:szCs w:val="32"/>
        </w:rPr>
        <w:t>此前的可再生能源发展规划，主要的假设为集中式风电场开发和分布式光伏开发（单一用户红线范围内），较少考虑分散式风电和用户红线外分布式光伏的开发。而上述非城市区域可供开发的可再生能源主要为分散式风电和用户红线外分布式光伏，目前本市的相关能源政策无法为此类可再生能源电力开发提供充分的政策保障。</w:t>
      </w:r>
    </w:p>
    <w:p w14:paraId="15C63D91">
      <w:pPr>
        <w:pStyle w:val="16"/>
        <w:rPr>
          <w:rStyle w:val="7"/>
          <w:rFonts w:ascii="Calibri" w:hAnsi="Calibri" w:eastAsia="宋体" w:cs="Times New Roman"/>
        </w:rPr>
      </w:pPr>
      <w:r>
        <w:rPr>
          <w:rStyle w:val="7"/>
          <w:rFonts w:ascii="宋体" w:hAnsi="宋体" w:eastAsia="宋体" w:cs="宋体"/>
          <w:b/>
          <w:color w:val="FF0000"/>
          <w:sz w:val="36"/>
        </w:rPr>
        <w:t>――――――――――――――――――――――</w:t>
      </w:r>
    </w:p>
    <w:p w14:paraId="5DDD1C2F">
      <w:pPr>
        <w:pStyle w:val="16"/>
        <w:rPr>
          <w:rStyle w:val="7"/>
          <w:rFonts w:ascii="Calibri" w:hAnsi="Calibri" w:eastAsia="宋体" w:cs="Times New Roman"/>
        </w:rPr>
      </w:pPr>
      <w:r>
        <w:rPr>
          <w:rStyle w:val="7"/>
          <w:rFonts w:ascii="宋体" w:hAnsi="宋体" w:eastAsia="宋体" w:cs="宋体"/>
          <w:b/>
          <w:color w:val="FF0000"/>
          <w:sz w:val="36"/>
        </w:rPr>
        <w:t>※建议※</w:t>
      </w:r>
    </w:p>
    <w:p w14:paraId="386830FE">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rPr>
        <w:t>1、鼓励各区县、街镇、开发区解放思想、因地制宜制定本地区可再生能源电力开发方案，</w:t>
      </w:r>
      <w:r>
        <w:rPr>
          <w:rStyle w:val="7"/>
          <w:rFonts w:hint="eastAsia" w:ascii="仿宋_GB2312" w:hAnsi="仿宋_GB2312" w:eastAsia="仿宋_GB2312" w:cs="仿宋_GB2312"/>
          <w:sz w:val="32"/>
          <w:szCs w:val="32"/>
        </w:rPr>
        <w:t>最大限度挖掘本地区可供风电和光伏发电项目开发的潜在场地，并为相关开发项目提供灵活的用地方案（可以不区分工业、商业、市政、绿化等用地性质，并鼓励采用以租借或许可使用为主、出让/划拨为辅的多样化的用地方式）。</w:t>
      </w:r>
    </w:p>
    <w:p w14:paraId="6DDDAB82">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rPr>
        <w:t>2、根据国家能源局《分散式风电项目开发建设暂行管理办法》（国能发新能[2018]30号）相关规定，</w:t>
      </w:r>
      <w:r>
        <w:rPr>
          <w:rStyle w:val="7"/>
          <w:rFonts w:hint="eastAsia" w:ascii="仿宋_GB2312" w:hAnsi="仿宋_GB2312" w:eastAsia="仿宋_GB2312" w:cs="仿宋_GB2312"/>
          <w:sz w:val="32"/>
          <w:szCs w:val="32"/>
        </w:rPr>
        <w:t>制定针对分散式风电项目的简便高效的审批程序，包括规划、用地、准入、接入等。</w:t>
      </w:r>
    </w:p>
    <w:p w14:paraId="38EBFD69">
      <w:pPr>
        <w:pStyle w:val="16"/>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rPr>
        <w:t>3、提供根据国家能源局《关于支持电力领域新型经营主体创新发展的指导意见》（国能发法改〔2024〕93号）相关要求，</w:t>
      </w:r>
      <w:r>
        <w:rPr>
          <w:rStyle w:val="7"/>
          <w:rFonts w:hint="eastAsia" w:ascii="仿宋_GB2312" w:hAnsi="仿宋_GB2312" w:eastAsia="仿宋_GB2312" w:cs="仿宋_GB2312"/>
          <w:sz w:val="32"/>
          <w:szCs w:val="32"/>
        </w:rPr>
        <w:t>“支持具备条件的工业企业、工业园区等开展智能微电网建设，提高新能源就地消纳水平”；“探索建立通过新能源直连增加企业绿电供给的机制”；“鼓励新型经营主体平等参与电力市场。”把用户红线外的光伏项目也明确定义为分布式光伏，并支持分散式风电、用户红线外分布式光伏等项目因地制宜采用灵活的接入方式（包括接入电业站、接入微电网、接入就近用户站等方式）和交易方式（包括全额上网、市场化交易、直接接入结算等方式）。</w:t>
      </w:r>
    </w:p>
    <w:sectPr>
      <w:headerReference r:id="rId3" w:type="default"/>
      <w:footerReference r:id="rId4" w:type="default"/>
      <w:pgSz w:w="11906" w:h="16838"/>
      <w:pgMar w:top="1440" w:right="18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ebdings">
    <w:panose1 w:val="05030102010509060703"/>
    <w:charset w:val="02"/>
    <w:family w:val="roman"/>
    <w:pitch w:val="default"/>
    <w:sig w:usb0="00000000" w:usb1="00000000" w:usb2="00000000" w:usb3="00000000" w:csb0="80000000"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14AA46">
    <w:pPr>
      <w:pStyle w:val="2"/>
      <w:jc w:val="center"/>
      <w:rPr>
        <w:sz w:val="28"/>
        <w:szCs w:val="28"/>
      </w:rPr>
    </w:pPr>
    <w:r>
      <w:rPr>
        <w:rFonts w:hint="eastAsia"/>
        <w:sz w:val="28"/>
        <w:szCs w:val="28"/>
      </w:rPr>
      <w:t>第</w:t>
    </w:r>
    <w:r>
      <w:rPr>
        <w:b/>
        <w:sz w:val="28"/>
        <w:szCs w:val="28"/>
      </w:rPr>
      <w:fldChar w:fldCharType="begin"/>
    </w:r>
    <w:r>
      <w:rPr>
        <w:b/>
        <w:sz w:val="28"/>
        <w:szCs w:val="28"/>
      </w:rPr>
      <w:instrText xml:space="preserve">PAGE</w:instrText>
    </w:r>
    <w:r>
      <w:rPr>
        <w:b/>
        <w:sz w:val="28"/>
        <w:szCs w:val="28"/>
      </w:rPr>
      <w:fldChar w:fldCharType="separate"/>
    </w:r>
    <w:r>
      <w:rPr>
        <w:b/>
        <w:sz w:val="28"/>
        <w:szCs w:val="28"/>
      </w:rPr>
      <w:t>1</w:t>
    </w:r>
    <w:r>
      <w:rPr>
        <w:b/>
        <w:sz w:val="28"/>
        <w:szCs w:val="28"/>
      </w:rPr>
      <w:fldChar w:fldCharType="end"/>
    </w:r>
    <w:r>
      <w:rPr>
        <w:rFonts w:hint="eastAsia"/>
        <w:b/>
        <w:sz w:val="28"/>
        <w:szCs w:val="28"/>
      </w:rPr>
      <w:t>页</w:t>
    </w:r>
    <w:r>
      <w:rPr>
        <w:sz w:val="28"/>
        <w:szCs w:val="28"/>
        <w:lang w:val="zh-CN"/>
      </w:rPr>
      <w:t xml:space="preserve"> / </w:t>
    </w:r>
    <w:r>
      <w:rPr>
        <w:rFonts w:hint="eastAsia"/>
        <w:sz w:val="28"/>
        <w:szCs w:val="28"/>
        <w:lang w:val="zh-CN"/>
      </w:rPr>
      <w:t>共</w:t>
    </w:r>
    <w:r>
      <w:rPr>
        <w:b/>
        <w:sz w:val="28"/>
        <w:szCs w:val="28"/>
      </w:rPr>
      <w:fldChar w:fldCharType="begin"/>
    </w:r>
    <w:r>
      <w:rPr>
        <w:b/>
        <w:sz w:val="28"/>
        <w:szCs w:val="28"/>
      </w:rPr>
      <w:instrText xml:space="preserve">NUMPAGES</w:instrText>
    </w:r>
    <w:r>
      <w:rPr>
        <w:b/>
        <w:sz w:val="28"/>
        <w:szCs w:val="28"/>
      </w:rPr>
      <w:fldChar w:fldCharType="separate"/>
    </w:r>
    <w:r>
      <w:rPr>
        <w:b/>
        <w:sz w:val="28"/>
        <w:szCs w:val="28"/>
      </w:rPr>
      <w:t>2</w:t>
    </w:r>
    <w:r>
      <w:rPr>
        <w:b/>
        <w:sz w:val="28"/>
        <w:szCs w:val="28"/>
      </w:rPr>
      <w:fldChar w:fldCharType="end"/>
    </w:r>
    <w:r>
      <w:rPr>
        <w:rFonts w:hint="eastAsia"/>
        <w:sz w:val="28"/>
        <w:szCs w:val="28"/>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E4FB4">
    <w:pPr>
      <w:pStyle w:val="3"/>
      <w:pBdr>
        <w:bottom w:val="none" w:color="auto" w:sz="0" w:space="0"/>
      </w:pBdr>
      <w:spacing w:before="4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0"/>
  <w:doNotDisplayPageBoundaries w:val="1"/>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000"/>
    <w:rsid w:val="0C0D06DF"/>
    <w:rsid w:val="65DBD587"/>
    <w:rsid w:val="65FAF7B3"/>
    <w:rsid w:val="7DBD991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nhideWhenUsed="0" w:uiPriority="99" w:semiHidden="0"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4"/>
    <w:unhideWhenUsed/>
    <w:qFormat/>
    <w:uiPriority w:val="99"/>
    <w:pPr>
      <w:tabs>
        <w:tab w:val="center" w:pos="4153"/>
        <w:tab w:val="right" w:pos="8306"/>
      </w:tabs>
      <w:snapToGrid w:val="0"/>
    </w:pPr>
    <w:rPr>
      <w:rFonts w:cs="Times New Roman"/>
      <w:sz w:val="18"/>
      <w:szCs w:val="18"/>
    </w:rPr>
  </w:style>
  <w:style w:type="paragraph" w:styleId="3">
    <w:name w:val="header"/>
    <w:basedOn w:val="1"/>
    <w:link w:val="13"/>
    <w:unhideWhenUsed/>
    <w:qFormat/>
    <w:uiPriority w:val="99"/>
    <w:pPr>
      <w:pBdr>
        <w:bottom w:val="single" w:color="auto" w:sz="6" w:space="1"/>
      </w:pBdr>
      <w:tabs>
        <w:tab w:val="center" w:pos="4153"/>
        <w:tab w:val="right" w:pos="8306"/>
      </w:tabs>
      <w:snapToGrid w:val="0"/>
      <w:jc w:val="center"/>
    </w:pPr>
    <w:rPr>
      <w:rFonts w:cs="Times New Roman"/>
      <w:sz w:val="18"/>
      <w:szCs w:val="18"/>
    </w:rPr>
  </w:style>
  <w:style w:type="paragraph" w:styleId="4">
    <w:name w:val="Normal (Web)"/>
    <w:basedOn w:val="1"/>
    <w:unhideWhenUsed/>
    <w:qFormat/>
    <w:uiPriority w:val="99"/>
    <w:pPr>
      <w:spacing w:before="100" w:beforeAutospacing="1" w:after="100" w:afterAutospacing="1"/>
    </w:pPr>
  </w:style>
  <w:style w:type="table" w:styleId="6">
    <w:name w:val="Table Grid"/>
    <w:basedOn w:val="5"/>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qFormat/>
    <w:uiPriority w:val="22"/>
    <w:rPr>
      <w:b/>
      <w:bCs/>
    </w:rPr>
  </w:style>
  <w:style w:type="paragraph" w:customStyle="1" w:styleId="9">
    <w:name w:val="z-窗体顶端1"/>
    <w:basedOn w:val="1"/>
    <w:next w:val="1"/>
    <w:link w:val="10"/>
    <w:semiHidden/>
    <w:unhideWhenUsed/>
    <w:qFormat/>
    <w:uiPriority w:val="99"/>
    <w:pPr>
      <w:pBdr>
        <w:bottom w:val="single" w:color="auto" w:sz="6" w:space="1"/>
      </w:pBdr>
      <w:jc w:val="center"/>
    </w:pPr>
    <w:rPr>
      <w:rFonts w:ascii="Arial" w:hAnsi="Arial" w:cs="Times New Roman"/>
      <w:vanish/>
      <w:sz w:val="16"/>
      <w:szCs w:val="16"/>
    </w:rPr>
  </w:style>
  <w:style w:type="character" w:customStyle="1" w:styleId="10">
    <w:name w:val="z-窗体顶端 字符"/>
    <w:link w:val="9"/>
    <w:semiHidden/>
    <w:qFormat/>
    <w:uiPriority w:val="99"/>
    <w:rPr>
      <w:rFonts w:ascii="Arial" w:hAnsi="Arial" w:eastAsia="宋体" w:cs="Arial"/>
      <w:vanish/>
      <w:kern w:val="0"/>
      <w:sz w:val="16"/>
      <w:szCs w:val="16"/>
    </w:rPr>
  </w:style>
  <w:style w:type="paragraph" w:customStyle="1" w:styleId="11">
    <w:name w:val="z-窗体底端1"/>
    <w:basedOn w:val="1"/>
    <w:next w:val="1"/>
    <w:link w:val="12"/>
    <w:semiHidden/>
    <w:unhideWhenUsed/>
    <w:qFormat/>
    <w:uiPriority w:val="99"/>
    <w:pPr>
      <w:pBdr>
        <w:top w:val="single" w:color="auto" w:sz="6" w:space="1"/>
      </w:pBdr>
      <w:jc w:val="center"/>
    </w:pPr>
    <w:rPr>
      <w:rFonts w:ascii="Arial" w:hAnsi="Arial" w:cs="Times New Roman"/>
      <w:vanish/>
      <w:sz w:val="16"/>
      <w:szCs w:val="16"/>
    </w:rPr>
  </w:style>
  <w:style w:type="character" w:customStyle="1" w:styleId="12">
    <w:name w:val="z-窗体底端 字符"/>
    <w:link w:val="11"/>
    <w:semiHidden/>
    <w:qFormat/>
    <w:uiPriority w:val="99"/>
    <w:rPr>
      <w:rFonts w:ascii="Arial" w:hAnsi="Arial" w:eastAsia="宋体" w:cs="Arial"/>
      <w:vanish/>
      <w:kern w:val="0"/>
      <w:sz w:val="16"/>
      <w:szCs w:val="16"/>
    </w:rPr>
  </w:style>
  <w:style w:type="character" w:customStyle="1" w:styleId="13">
    <w:name w:val="页眉 字符"/>
    <w:link w:val="3"/>
    <w:qFormat/>
    <w:uiPriority w:val="99"/>
    <w:rPr>
      <w:rFonts w:ascii="宋体" w:hAnsi="宋体" w:cs="宋体"/>
      <w:sz w:val="18"/>
      <w:szCs w:val="18"/>
    </w:rPr>
  </w:style>
  <w:style w:type="character" w:customStyle="1" w:styleId="14">
    <w:name w:val="页脚 字符"/>
    <w:link w:val="2"/>
    <w:qFormat/>
    <w:uiPriority w:val="99"/>
    <w:rPr>
      <w:rFonts w:ascii="宋体" w:hAnsi="宋体" w:cs="宋体"/>
      <w:sz w:val="18"/>
      <w:szCs w:val="18"/>
    </w:rPr>
  </w:style>
  <w:style w:type="paragraph" w:customStyle="1" w:styleId="15">
    <w:name w:val="Normal_0"/>
    <w:qFormat/>
    <w:uiPriority w:val="0"/>
    <w:pPr>
      <w:widowControl w:val="0"/>
      <w:jc w:val="both"/>
    </w:pPr>
    <w:rPr>
      <w:rFonts w:asciiTheme="minorHAnsi" w:hAnsiTheme="minorHAnsi" w:eastAsiaTheme="minorEastAsia" w:cstheme="minorBidi"/>
      <w:sz w:val="21"/>
      <w:szCs w:val="22"/>
      <w:lang w:val="en-US" w:eastAsia="zh-CN" w:bidi="ar-SA"/>
    </w:rPr>
  </w:style>
  <w:style w:type="paragraph" w:customStyle="1" w:styleId="16">
    <w:name w:val="Normal_1"/>
    <w:qFormat/>
    <w:uiPriority w:val="0"/>
    <w:pPr>
      <w:widowControl w:val="0"/>
      <w:jc w:val="both"/>
    </w:pPr>
    <w:rPr>
      <w:rFonts w:ascii="Calibri" w:hAnsi="Calibri"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Microsoft</Company>
  <Pages>4</Pages>
  <Words>1647</Words>
  <Characters>1780</Characters>
  <Lines>3</Lines>
  <Paragraphs>1</Paragraphs>
  <TotalTime>60</TotalTime>
  <ScaleCrop>false</ScaleCrop>
  <LinksUpToDate>false</LinksUpToDate>
  <CharactersWithSpaces>1855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2021-04-02T05:38:00Z</dcterms:created>
  <dc:creator>2</dc:creator>
  <cp:lastModifiedBy>WPS_1742806582</cp:lastModifiedBy>
  <cp:lastPrinted>2023-12-27T01:02:00Z</cp:lastPrinted>
  <dcterms:modified xsi:type="dcterms:W3CDTF">2025-03-27T01:41:33Z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E3D15859C45D435E8C9E9BBA1930C628</vt:lpwstr>
  </property>
  <property fmtid="{D5CDD505-2E9C-101B-9397-08002B2CF9AE}" pid="3" name="KSOProductBuildVer">
    <vt:lpwstr>2052-12.1.0.20305</vt:lpwstr>
  </property>
  <property fmtid="{D5CDD505-2E9C-101B-9397-08002B2CF9AE}" pid="4" name="KSOTemplateDocerSaveRecord">
    <vt:lpwstr>eyJoZGlkIjoiYzNiNmU3ODBhNjNmMzM1ZWY3YmI4MzliOTY3NGMxNzMiLCJ1c2VySWQiOiIxNjkwMzU1OTI0In0=</vt:lpwstr>
  </property>
</Properties>
</file>