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C57BE0F">
      <w:pPr>
        <w:rPr>
          <w:rFonts w:ascii="宋体" w:hAnsi="宋体"/>
          <w:color w:val="008000"/>
          <w:sz w:val="24"/>
        </w:rPr>
      </w:pPr>
      <w:bookmarkStart w:id="1" w:name="_GoBack"/>
      <w:bookmarkEnd w:id="1"/>
      <w:r>
        <w:rPr>
          <w:rFonts w:hint="eastAsia" w:ascii="宋体" w:hAnsi="宋体"/>
          <w:color w:val="008000"/>
          <w:sz w:val="24"/>
        </w:rPr>
        <w:t>提案内容：</w:t>
      </w:r>
    </w:p>
    <w:p w14:paraId="220F6FFA">
      <w:pPr>
        <w:jc w:val="center"/>
        <w:rPr>
          <w:rFonts w:ascii="黑体" w:hAnsi="黑体" w:eastAsia="黑体"/>
          <w:b/>
          <w:sz w:val="44"/>
          <w:szCs w:val="44"/>
        </w:rPr>
      </w:pPr>
      <w:bookmarkStart w:id="0" w:name="casetitle2"/>
      <w:r>
        <w:rPr>
          <w:rFonts w:ascii="黑体" w:hAnsi="黑体" w:eastAsia="黑体"/>
          <w:b/>
          <w:sz w:val="44"/>
          <w:szCs w:val="44"/>
        </w:rPr>
        <w:t>关于打造市级国际花卉综合交易集散中心的提案</w:t>
      </w:r>
      <w:bookmarkEnd w:id="0"/>
    </w:p>
    <w:p w14:paraId="6261A472">
      <w:pPr>
        <w:jc w:val="center"/>
        <w:rPr>
          <w:rFonts w:ascii="黑体" w:hAnsi="黑体" w:eastAsia="黑体"/>
          <w:sz w:val="44"/>
          <w:szCs w:val="44"/>
        </w:rPr>
      </w:pPr>
    </w:p>
    <w:p w14:paraId="62770276">
      <w:pPr>
        <w:rPr>
          <w:rFonts w:ascii="黑体" w:hAnsi="黑体" w:eastAsia="黑体"/>
          <w:b/>
          <w:color w:val="008000"/>
          <w:sz w:val="36"/>
          <w:szCs w:val="36"/>
        </w:rPr>
      </w:pPr>
    </w:p>
    <w:p w14:paraId="433DEA03">
      <w:pPr>
        <w:pStyle w:val="11"/>
        <w:spacing w:after="200" w:line="276" w:lineRule="auto"/>
        <w:rPr>
          <w:rStyle w:val="7"/>
          <w:sz w:val="22"/>
          <w:szCs w:val="22"/>
          <w:lang w:eastAsia="zh-CN"/>
        </w:rPr>
      </w:pPr>
      <w:r>
        <w:rPr>
          <w:rStyle w:val="7"/>
          <w:rFonts w:ascii="宋体" w:hAnsi="宋体" w:eastAsia="宋体" w:cs="宋体"/>
          <w:b/>
          <w:color w:val="008000"/>
          <w:sz w:val="36"/>
          <w:szCs w:val="22"/>
          <w:lang w:eastAsia="zh-CN"/>
        </w:rPr>
        <w:t>※背景情况※</w:t>
      </w:r>
    </w:p>
    <w:p w14:paraId="360828CE">
      <w:pPr>
        <w:pStyle w:val="12"/>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2020年，上海市人民政府办公厅发布《关于推进花卉产业高质量发展 服务高品质生活的意见》（简称“72号文”），明确提出要“打造1个集花卉研发创新、加工制造、贸易流通、拍卖交易、冷链物流、信息处置以及商旅文教等于一体的现代化、高水平、枢纽型市级国际花卉综合交易集散中心”，为上海加快构建多层次多元化花卉市场流通体系指明了方向。</w:t>
      </w:r>
    </w:p>
    <w:p w14:paraId="3542B3DE">
      <w:pPr>
        <w:pStyle w:val="12"/>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为此，上海市政协农业和农村委员会、界别和地区工作委员会围绕“72号文”关于“打造市级国际花卉综合交易集散中心”的贯彻落实情况展开专题性调研，提出本市打造市级国际花卉综合交易集散中心的对策建议。</w:t>
      </w:r>
    </w:p>
    <w:p w14:paraId="23B7EC2D">
      <w:pPr>
        <w:pStyle w:val="11"/>
        <w:spacing w:after="200" w:line="276" w:lineRule="auto"/>
        <w:rPr>
          <w:rStyle w:val="7"/>
          <w:sz w:val="22"/>
          <w:szCs w:val="22"/>
        </w:rPr>
      </w:pPr>
      <w:r>
        <w:rPr>
          <w:rStyle w:val="7"/>
          <w:rFonts w:ascii="宋体" w:hAnsi="宋体" w:eastAsia="宋体" w:cs="宋体"/>
          <w:b/>
          <w:color w:val="008000"/>
          <w:sz w:val="36"/>
          <w:szCs w:val="22"/>
        </w:rPr>
        <w:t>――――――――――――――――――――――</w:t>
      </w:r>
    </w:p>
    <w:p w14:paraId="031FA488">
      <w:pPr>
        <w:pStyle w:val="11"/>
        <w:spacing w:after="200" w:line="276" w:lineRule="auto"/>
        <w:rPr>
          <w:rStyle w:val="7"/>
          <w:sz w:val="22"/>
          <w:szCs w:val="22"/>
          <w:lang w:eastAsia="zh-CN"/>
        </w:rPr>
      </w:pPr>
      <w:r>
        <w:rPr>
          <w:rStyle w:val="7"/>
          <w:rFonts w:ascii="宋体" w:hAnsi="宋体" w:eastAsia="宋体" w:cs="宋体"/>
          <w:b/>
          <w:color w:val="008000"/>
          <w:sz w:val="36"/>
          <w:szCs w:val="22"/>
          <w:lang w:eastAsia="zh-CN"/>
        </w:rPr>
        <w:t>※问题及分析※</w:t>
      </w:r>
    </w:p>
    <w:p w14:paraId="5265F493">
      <w:pPr>
        <w:pStyle w:val="12"/>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调研了解到，自“72号文”出台以来，全市加快推进市级国际花卉综合交易中心相关工作，形成了如虹桥花谷、云间卉谷等一定规模的花卉交易市场，</w:t>
      </w:r>
      <w:r>
        <w:rPr>
          <w:rStyle w:val="7"/>
          <w:rFonts w:hint="eastAsia" w:ascii="仿宋_GB2312" w:hAnsi="仿宋_GB2312" w:eastAsia="仿宋_GB2312" w:cs="仿宋_GB2312"/>
          <w:b/>
          <w:bCs/>
          <w:sz w:val="32"/>
          <w:szCs w:val="32"/>
        </w:rPr>
        <w:t>但目前“打造市级国际花卉综合交易集散中心”这一任务的落实情况不够理想，尤其是“市级交易集散中心”的选址尚未明确，严重阻碍了该项任务的推进进程。</w:t>
      </w:r>
      <w:r>
        <w:rPr>
          <w:rStyle w:val="7"/>
          <w:rFonts w:hint="eastAsia" w:ascii="仿宋_GB2312" w:hAnsi="仿宋_GB2312" w:eastAsia="仿宋_GB2312" w:cs="仿宋_GB2312"/>
          <w:sz w:val="32"/>
          <w:szCs w:val="32"/>
        </w:rPr>
        <w:t>同时，由于缺少龙头型交易中心的示范带动和引领，各交易市场发展侧重点不清晰，未能形成聚力合力，阻滞了上海建设国内一流花卉交易中心的发展目标。</w:t>
      </w:r>
    </w:p>
    <w:p w14:paraId="1551B4A7">
      <w:pPr>
        <w:pStyle w:val="12"/>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在调研过程中运营企业普遍反映，当前花卉交易市场在开展商旅文教、激活流通消费、获取资金支持等方面仍有待加强。</w:t>
      </w:r>
      <w:r>
        <w:rPr>
          <w:rStyle w:val="7"/>
          <w:rFonts w:hint="eastAsia" w:ascii="仿宋_GB2312" w:hAnsi="仿宋_GB2312" w:eastAsia="仿宋_GB2312" w:cs="仿宋_GB2312"/>
          <w:b/>
          <w:bCs/>
          <w:sz w:val="32"/>
          <w:szCs w:val="32"/>
        </w:rPr>
        <w:t>在发展复合功能方面，</w:t>
      </w:r>
      <w:r>
        <w:rPr>
          <w:rStyle w:val="7"/>
          <w:rFonts w:hint="eastAsia" w:ascii="仿宋_GB2312" w:hAnsi="仿宋_GB2312" w:eastAsia="仿宋_GB2312" w:cs="仿宋_GB2312"/>
          <w:sz w:val="32"/>
          <w:szCs w:val="32"/>
        </w:rPr>
        <w:t>受制于郊野单元规划修订编制、报批审定的完成周期，花卉企业难以有效叠加商旅文教等功能。</w:t>
      </w:r>
      <w:r>
        <w:rPr>
          <w:rStyle w:val="7"/>
          <w:rFonts w:hint="eastAsia" w:ascii="仿宋_GB2312" w:hAnsi="仿宋_GB2312" w:eastAsia="仿宋_GB2312" w:cs="仿宋_GB2312"/>
          <w:b/>
          <w:bCs/>
          <w:sz w:val="32"/>
          <w:szCs w:val="32"/>
        </w:rPr>
        <w:t>在激活流通消费方面，</w:t>
      </w:r>
      <w:r>
        <w:rPr>
          <w:rStyle w:val="7"/>
          <w:rFonts w:hint="eastAsia" w:ascii="仿宋_GB2312" w:hAnsi="仿宋_GB2312" w:eastAsia="仿宋_GB2312" w:cs="仿宋_GB2312"/>
          <w:sz w:val="32"/>
          <w:szCs w:val="32"/>
        </w:rPr>
        <w:t>由于设施农用地不能作为经营性用途，现实中存在“线上网店能看货、能洽谈、能销售结算，线下实体能看货、能洽谈、不能销售结算”的窘境。</w:t>
      </w:r>
    </w:p>
    <w:p w14:paraId="4785A425">
      <w:pPr>
        <w:pStyle w:val="11"/>
        <w:spacing w:after="200" w:line="276" w:lineRule="auto"/>
        <w:rPr>
          <w:rStyle w:val="7"/>
          <w:sz w:val="22"/>
          <w:szCs w:val="22"/>
          <w:lang w:eastAsia="zh-CN"/>
        </w:rPr>
      </w:pPr>
      <w:r>
        <w:rPr>
          <w:rStyle w:val="7"/>
          <w:rFonts w:ascii="宋体" w:hAnsi="宋体" w:eastAsia="宋体" w:cs="宋体"/>
          <w:b/>
          <w:color w:val="008000"/>
          <w:sz w:val="36"/>
          <w:szCs w:val="22"/>
          <w:lang w:eastAsia="zh-CN"/>
        </w:rPr>
        <w:t>――――――――――――――――――――――</w:t>
      </w:r>
    </w:p>
    <w:p w14:paraId="2076EF30">
      <w:pPr>
        <w:pStyle w:val="11"/>
        <w:spacing w:after="200" w:line="276" w:lineRule="auto"/>
        <w:rPr>
          <w:rStyle w:val="7"/>
          <w:sz w:val="22"/>
          <w:szCs w:val="22"/>
          <w:lang w:eastAsia="zh-CN"/>
        </w:rPr>
      </w:pPr>
      <w:r>
        <w:rPr>
          <w:rStyle w:val="7"/>
          <w:rFonts w:ascii="宋体" w:hAnsi="宋体" w:eastAsia="宋体" w:cs="宋体"/>
          <w:b/>
          <w:color w:val="008000"/>
          <w:sz w:val="36"/>
          <w:szCs w:val="22"/>
          <w:lang w:eastAsia="zh-CN"/>
        </w:rPr>
        <w:t>※建议※</w:t>
      </w:r>
    </w:p>
    <w:p w14:paraId="501266CD">
      <w:pPr>
        <w:pStyle w:val="12"/>
        <w:spacing w:before="75" w:after="75" w:line="600" w:lineRule="atLeast"/>
        <w:ind w:firstLine="690"/>
        <w:jc w:val="both"/>
        <w:rPr>
          <w:rStyle w:val="7"/>
          <w:rFonts w:hint="eastAsia" w:ascii="楷体_GB2312" w:hAnsi="楷体_GB2312" w:eastAsia="楷体_GB2312" w:cs="楷体_GB2312"/>
          <w:b/>
          <w:bCs/>
          <w:sz w:val="32"/>
          <w:szCs w:val="32"/>
        </w:rPr>
      </w:pPr>
      <w:r>
        <w:rPr>
          <w:rStyle w:val="7"/>
          <w:rFonts w:hint="eastAsia" w:ascii="楷体_GB2312" w:hAnsi="楷体_GB2312" w:eastAsia="楷体_GB2312" w:cs="楷体_GB2312"/>
          <w:b/>
          <w:bCs/>
          <w:sz w:val="32"/>
          <w:szCs w:val="32"/>
          <w:lang w:val="en-US" w:eastAsia="zh-CN"/>
        </w:rPr>
        <w:t>1、</w:t>
      </w:r>
      <w:r>
        <w:rPr>
          <w:rStyle w:val="7"/>
          <w:rFonts w:hint="eastAsia" w:ascii="楷体_GB2312" w:hAnsi="楷体_GB2312" w:eastAsia="楷体_GB2312" w:cs="楷体_GB2312"/>
          <w:b/>
          <w:bCs/>
          <w:sz w:val="32"/>
          <w:szCs w:val="32"/>
        </w:rPr>
        <w:t>市区联手打造，推进虹桥花谷承接“市级国际花卉综合交易集散中心”建设任务</w:t>
      </w:r>
    </w:p>
    <w:p w14:paraId="6E287E40">
      <w:pPr>
        <w:pStyle w:val="12"/>
        <w:spacing w:before="75" w:after="75" w:line="600" w:lineRule="atLeast"/>
        <w:ind w:firstLine="690"/>
        <w:jc w:val="both"/>
        <w:rPr>
          <w:rStyle w:val="7"/>
          <w:rFonts w:hint="eastAsia" w:ascii="仿宋_GB2312" w:eastAsia="仿宋_GB2312"/>
          <w:sz w:val="32"/>
          <w:szCs w:val="32"/>
        </w:rPr>
      </w:pPr>
      <w:r>
        <w:rPr>
          <w:rStyle w:val="7"/>
          <w:rFonts w:hint="eastAsia" w:ascii="仿宋_GB2312" w:eastAsia="仿宋_GB2312"/>
          <w:sz w:val="32"/>
          <w:szCs w:val="32"/>
        </w:rPr>
        <w:t>结合调研情况，充分考虑青浦区华新镇诸多物流总部集聚，且紧邻虹桥枢纽、虹桥国际中央商务区、国家会展中心，地处长三角一体化示范区的建设区域，加之国际进口博览会的辐射华新镇的作用明显，华新镇的战略发展和内引外联的区位优势突出。以及考虑到虹桥花谷已经建成并投入运营的虹桥花谷?南区占地450亩，规划开发规模占地1031亩，目前已有近200家花商花企入驻，已形成本市具有较大规模和较高知名度的花卉产业平台的现实基础。建议由市级层面认定、市相关部门与青浦区联手推动，对青浦华新镇虹桥花谷提升改造，逐步将其建设成“市级国际花卉综合交易集散中心”，并接续培育本市其他花卉交易中心发展壮大。</w:t>
      </w:r>
    </w:p>
    <w:p w14:paraId="7BED55C1">
      <w:pPr>
        <w:pStyle w:val="12"/>
        <w:spacing w:before="75" w:after="75" w:line="600" w:lineRule="atLeast"/>
        <w:ind w:firstLine="690"/>
        <w:jc w:val="both"/>
        <w:rPr>
          <w:rStyle w:val="7"/>
          <w:rFonts w:hint="eastAsia" w:ascii="楷体_GB2312" w:hAnsi="楷体_GB2312" w:eastAsia="楷体_GB2312" w:cs="楷体_GB2312"/>
          <w:b/>
          <w:bCs/>
          <w:sz w:val="32"/>
          <w:szCs w:val="32"/>
        </w:rPr>
      </w:pPr>
      <w:r>
        <w:rPr>
          <w:rStyle w:val="7"/>
          <w:rFonts w:hint="eastAsia" w:ascii="楷体_GB2312" w:hAnsi="楷体_GB2312" w:eastAsia="楷体_GB2312" w:cs="楷体_GB2312"/>
          <w:b/>
          <w:bCs/>
          <w:sz w:val="32"/>
          <w:szCs w:val="32"/>
          <w:lang w:val="en-US" w:eastAsia="zh-CN"/>
        </w:rPr>
        <w:t>2、</w:t>
      </w:r>
      <w:r>
        <w:rPr>
          <w:rStyle w:val="7"/>
          <w:rFonts w:hint="eastAsia" w:ascii="楷体_GB2312" w:hAnsi="楷体_GB2312" w:eastAsia="楷体_GB2312" w:cs="楷体_GB2312"/>
          <w:b/>
          <w:bCs/>
          <w:sz w:val="32"/>
          <w:szCs w:val="32"/>
        </w:rPr>
        <w:t>加速规划引领，导入花卉销售和叠加商旅文教功能</w:t>
      </w:r>
    </w:p>
    <w:p w14:paraId="2780CAA2">
      <w:pPr>
        <w:pStyle w:val="12"/>
        <w:spacing w:before="75" w:after="75" w:line="600" w:lineRule="atLeast"/>
        <w:ind w:firstLine="690"/>
        <w:jc w:val="both"/>
        <w:rPr>
          <w:rStyle w:val="7"/>
          <w:rFonts w:hint="eastAsia" w:ascii="仿宋_GB2312" w:eastAsia="仿宋_GB2312"/>
          <w:sz w:val="32"/>
          <w:szCs w:val="32"/>
        </w:rPr>
      </w:pPr>
      <w:r>
        <w:rPr>
          <w:rStyle w:val="7"/>
          <w:rFonts w:hint="eastAsia" w:ascii="仿宋_GB2312" w:eastAsia="仿宋_GB2312"/>
          <w:sz w:val="32"/>
          <w:szCs w:val="32"/>
        </w:rPr>
        <w:t>一是通过单独编制郊野单元村庄规划(专项)，用3-6个月时间完成虹桥花谷建设项目的规划编制和报批，为尽早开工建设创造必要条件。二是对于相关建设项目落地规划中遇到的建设用地指标问题，且难以通过镇、村范围平衡的，可探索使用“机动指标”予以倾斜解决。同时，明确“点状供地”实施意见具体操作方法和落地路径，建立花卉生产配套“点状供地”重大项目用地指标保障机制，构建花卉种植设施农业项目落地的“绿色通道”，加快花卉产业载体建设和强化产业功能导入。三是以市级现代农业产业示范园区（花卉产业示范园区）为抓手，助力花卉交易、集散与消费，“以花为媒”为乡村振兴示范村提供产业支撑。</w:t>
      </w:r>
    </w:p>
    <w:p w14:paraId="7F7AEEC9">
      <w:pPr>
        <w:pStyle w:val="12"/>
        <w:spacing w:before="75" w:after="75" w:line="600" w:lineRule="atLeast"/>
        <w:ind w:firstLine="690"/>
        <w:jc w:val="both"/>
        <w:rPr>
          <w:rStyle w:val="7"/>
          <w:rFonts w:hint="eastAsia" w:ascii="楷体_GB2312" w:hAnsi="楷体_GB2312" w:eastAsia="楷体_GB2312" w:cs="楷体_GB2312"/>
          <w:b/>
          <w:bCs/>
          <w:sz w:val="32"/>
          <w:szCs w:val="32"/>
        </w:rPr>
      </w:pPr>
      <w:r>
        <w:rPr>
          <w:rStyle w:val="7"/>
          <w:rFonts w:hint="eastAsia" w:ascii="楷体_GB2312" w:hAnsi="楷体_GB2312" w:eastAsia="楷体_GB2312" w:cs="楷体_GB2312"/>
          <w:b/>
          <w:bCs/>
          <w:sz w:val="32"/>
          <w:szCs w:val="32"/>
          <w:lang w:val="en-US" w:eastAsia="zh-CN"/>
        </w:rPr>
        <w:t>3、</w:t>
      </w:r>
      <w:r>
        <w:rPr>
          <w:rStyle w:val="7"/>
          <w:rFonts w:hint="eastAsia" w:ascii="楷体_GB2312" w:hAnsi="楷体_GB2312" w:eastAsia="楷体_GB2312" w:cs="楷体_GB2312"/>
          <w:b/>
          <w:bCs/>
          <w:sz w:val="32"/>
          <w:szCs w:val="32"/>
        </w:rPr>
        <w:t>激活流通消费，持续构建花卉交易集散运行机制</w:t>
      </w:r>
    </w:p>
    <w:p w14:paraId="1AADC6D1">
      <w:pPr>
        <w:pStyle w:val="12"/>
        <w:spacing w:before="75" w:after="75" w:line="600" w:lineRule="atLeast"/>
        <w:ind w:firstLine="690"/>
        <w:jc w:val="both"/>
        <w:rPr>
          <w:rStyle w:val="7"/>
          <w:rFonts w:ascii="仿宋_GB2312" w:eastAsia="仿宋_GB2312"/>
          <w:sz w:val="32"/>
          <w:szCs w:val="32"/>
        </w:rPr>
      </w:pPr>
      <w:r>
        <w:rPr>
          <w:rStyle w:val="7"/>
          <w:rFonts w:hint="eastAsia" w:ascii="仿宋_GB2312" w:eastAsia="仿宋_GB2312"/>
          <w:sz w:val="32"/>
          <w:szCs w:val="32"/>
        </w:rPr>
        <w:t>一是形成“买全球、卖全球”的花卉市场格局。放大中国国际进口博览会（进博会）溢出带动效应，依托虹桥花谷引入进博会上海交易团“6天+365天”交易服务，推动举办“上海购物节（花卉节）”，持续释放上海“72号文”政策效应。二是建立统一的花卉销售结算系统。实现入驻花商花企全覆盖，推动花卉销售实时在线结算。并以已建成的商业配套设施作为销售结算的支撑，充分利用生产基地中的点状商业设施和温室的外部管理用房作为就近结算点，形成规范有效的销售结算方式。</w:t>
      </w: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Webdings">
    <w:panose1 w:val="05030102010509060703"/>
    <w:charset w:val="02"/>
    <w:family w:val="roman"/>
    <w:pitch w:val="default"/>
    <w:sig w:usb0="00000000" w:usb1="00000000" w:usb2="00000000" w:usb3="00000000" w:csb0="80000000"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E1F1D1">
    <w:pPr>
      <w:pStyle w:val="3"/>
      <w:jc w:val="center"/>
      <w:rPr>
        <w:sz w:val="28"/>
        <w:szCs w:val="28"/>
      </w:rPr>
    </w:pPr>
    <w:r>
      <w:rPr>
        <w:rFonts w:hint="eastAsia"/>
        <w:sz w:val="28"/>
        <w:szCs w:val="28"/>
      </w:rPr>
      <w:t>第</w:t>
    </w:r>
    <w:r>
      <w:rPr>
        <w:b/>
        <w:sz w:val="28"/>
        <w:szCs w:val="28"/>
      </w:rPr>
      <w:fldChar w:fldCharType="begin"/>
    </w:r>
    <w:r>
      <w:rPr>
        <w:b/>
        <w:sz w:val="28"/>
        <w:szCs w:val="28"/>
      </w:rPr>
      <w:instrText xml:space="preserve">PAGE</w:instrText>
    </w:r>
    <w:r>
      <w:rPr>
        <w:b/>
        <w:sz w:val="28"/>
        <w:szCs w:val="28"/>
      </w:rPr>
      <w:fldChar w:fldCharType="separate"/>
    </w:r>
    <w:r>
      <w:rPr>
        <w:b/>
        <w:sz w:val="28"/>
        <w:szCs w:val="28"/>
      </w:rPr>
      <w:t>1</w:t>
    </w:r>
    <w:r>
      <w:rPr>
        <w:b/>
        <w:sz w:val="28"/>
        <w:szCs w:val="28"/>
      </w:rPr>
      <w:fldChar w:fldCharType="end"/>
    </w:r>
    <w:r>
      <w:rPr>
        <w:rFonts w:hint="eastAsia"/>
        <w:b/>
        <w:sz w:val="28"/>
        <w:szCs w:val="28"/>
      </w:rPr>
      <w:t>页</w:t>
    </w:r>
    <w:r>
      <w:rPr>
        <w:sz w:val="28"/>
        <w:szCs w:val="28"/>
        <w:lang w:val="zh-CN"/>
      </w:rPr>
      <w:t xml:space="preserve"> / </w:t>
    </w:r>
    <w:r>
      <w:rPr>
        <w:rFonts w:hint="eastAsia"/>
        <w:sz w:val="28"/>
        <w:szCs w:val="28"/>
        <w:lang w:val="zh-CN"/>
      </w:rPr>
      <w:t>共</w:t>
    </w:r>
    <w:r>
      <w:rPr>
        <w:b/>
        <w:sz w:val="28"/>
        <w:szCs w:val="28"/>
      </w:rPr>
      <w:fldChar w:fldCharType="begin"/>
    </w:r>
    <w:r>
      <w:rPr>
        <w:b/>
        <w:sz w:val="28"/>
        <w:szCs w:val="28"/>
      </w:rPr>
      <w:instrText xml:space="preserve">NUMPAGES</w:instrText>
    </w:r>
    <w:r>
      <w:rPr>
        <w:b/>
        <w:sz w:val="28"/>
        <w:szCs w:val="28"/>
      </w:rPr>
      <w:fldChar w:fldCharType="separate"/>
    </w:r>
    <w:r>
      <w:rPr>
        <w:b/>
        <w:sz w:val="28"/>
        <w:szCs w:val="28"/>
      </w:rPr>
      <w:t>2</w:t>
    </w:r>
    <w:r>
      <w:rPr>
        <w:b/>
        <w:sz w:val="28"/>
        <w:szCs w:val="28"/>
      </w:rPr>
      <w:fldChar w:fldCharType="end"/>
    </w:r>
    <w:r>
      <w:rPr>
        <w:rFonts w:hint="eastAsia"/>
        <w:sz w:val="28"/>
        <w:szCs w:val="28"/>
      </w:rPr>
      <w:t>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2D5D9C">
    <w:pPr>
      <w:pStyle w:val="4"/>
      <w:pBdr>
        <w:bottom w:val="none" w:color="auto" w:sz="0" w:space="0"/>
      </w:pBdr>
      <w:jc w:val="right"/>
      <w:rPr>
        <w:color w:val="008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90"/>
  <w:doNotDisplayPageBoundaries w:val="1"/>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0000"/>
    <w:rsid w:val="3DA384C2"/>
    <w:rsid w:val="3DFF1C90"/>
    <w:rsid w:val="3EFF686C"/>
    <w:rsid w:val="3F3D2104"/>
    <w:rsid w:val="59685873"/>
    <w:rsid w:val="6FE75899"/>
    <w:rsid w:val="73FF6A55"/>
    <w:rsid w:val="7FBF443C"/>
    <w:rsid w:val="9F6FFD19"/>
    <w:rsid w:val="9FF91351"/>
    <w:rsid w:val="B7FFAC63"/>
    <w:rsid w:val="BF766378"/>
    <w:rsid w:val="DF55C700"/>
    <w:rsid w:val="FF5F5997"/>
    <w:rsid w:val="FFEF13F6"/>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nhideWhenUsed="0" w:uiPriority="0" w:semiHidden="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nhideWhenUsed="0" w:uiPriority="0" w:semiHidden="0" w:name="Table Web 2"/>
    <w:lsdException w:unhideWhenUsed="0" w:uiPriority="0" w:semiHidden="0" w:name="Table Web 3"/>
    <w:lsdException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Balloon Text"/>
    <w:basedOn w:val="1"/>
    <w:semiHidden/>
    <w:uiPriority w:val="0"/>
    <w:rPr>
      <w:sz w:val="18"/>
      <w:szCs w:val="18"/>
    </w:rPr>
  </w:style>
  <w:style w:type="paragraph" w:styleId="3">
    <w:name w:val="footer"/>
    <w:basedOn w:val="1"/>
    <w:link w:val="9"/>
    <w:qFormat/>
    <w:uiPriority w:val="99"/>
    <w:pPr>
      <w:tabs>
        <w:tab w:val="center" w:pos="4153"/>
        <w:tab w:val="right" w:pos="8306"/>
      </w:tabs>
      <w:snapToGrid w:val="0"/>
      <w:jc w:val="left"/>
    </w:pPr>
    <w:rPr>
      <w:sz w:val="18"/>
      <w:szCs w:val="18"/>
    </w:rPr>
  </w:style>
  <w:style w:type="paragraph" w:styleId="4">
    <w:name w:val="header"/>
    <w:basedOn w:val="1"/>
    <w:link w:val="8"/>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8">
    <w:name w:val="页眉 字符"/>
    <w:link w:val="4"/>
    <w:qFormat/>
    <w:uiPriority w:val="0"/>
    <w:rPr>
      <w:kern w:val="2"/>
      <w:sz w:val="18"/>
      <w:szCs w:val="18"/>
    </w:rPr>
  </w:style>
  <w:style w:type="character" w:customStyle="1" w:styleId="9">
    <w:name w:val="页脚 字符"/>
    <w:link w:val="3"/>
    <w:qFormat/>
    <w:uiPriority w:val="99"/>
    <w:rPr>
      <w:kern w:val="2"/>
      <w:sz w:val="18"/>
      <w:szCs w:val="18"/>
    </w:rPr>
  </w:style>
  <w:style w:type="paragraph" w:customStyle="1" w:styleId="10">
    <w:name w:val="Normal_0"/>
    <w:qFormat/>
    <w:uiPriority w:val="0"/>
    <w:rPr>
      <w:rFonts w:ascii="Times New Roman" w:hAnsi="Times New Roman" w:eastAsia="Times New Roman" w:cs="Times New Roman"/>
      <w:lang w:val="ru-RU" w:eastAsia="en-US" w:bidi="ar-SA"/>
    </w:rPr>
  </w:style>
  <w:style w:type="paragraph" w:customStyle="1" w:styleId="11">
    <w:name w:val="Normal_0_0"/>
    <w:qFormat/>
    <w:uiPriority w:val="0"/>
    <w:rPr>
      <w:rFonts w:ascii="Times New Roman" w:hAnsi="Times New Roman" w:eastAsia="Times New Roman" w:cs="Times New Roman"/>
      <w:lang w:val="ru-RU" w:eastAsia="en-US" w:bidi="ar-SA"/>
    </w:rPr>
  </w:style>
  <w:style w:type="paragraph" w:customStyle="1" w:styleId="12">
    <w:name w:val="Normal_1"/>
    <w:qFormat/>
    <w:uiPriority w:val="0"/>
    <w:rPr>
      <w:rFonts w:ascii="宋体" w:hAnsi="宋体" w:eastAsia="宋体" w:cs="宋体"/>
      <w:sz w:val="24"/>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B0C535-EE8D-4C9F-BBD9-519E25D7DD99}">
  <ds:schemaRefs/>
</ds:datastoreItem>
</file>

<file path=docProps/app.xml><?xml version="1.0" encoding="utf-8"?>
<Properties xmlns="http://schemas.openxmlformats.org/officeDocument/2006/extended-properties" xmlns:vt="http://schemas.openxmlformats.org/officeDocument/2006/docPropsVTypes">
  <Company>SHZX</Company>
  <Pages>4</Pages>
  <Words>1847</Words>
  <Characters>1909</Characters>
  <Lines>3</Lines>
  <Paragraphs>1</Paragraphs>
  <TotalTime>13</TotalTime>
  <ScaleCrop>false</ScaleCrop>
  <LinksUpToDate>false</LinksUpToDate>
  <CharactersWithSpaces>1975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2023-12-29T17:06:00Z</dcterms:created>
  <dc:creator>张丁</dc:creator>
  <cp:lastModifiedBy>WPS_1742806582</cp:lastModifiedBy>
  <cp:lastPrinted>2013-01-12T20:21:00Z</cp:lastPrinted>
  <dcterms:modified xsi:type="dcterms:W3CDTF">2025-03-27T01:36:36Z</dcterms:modified>
  <dc:title>中国人民政治协商会议上海市第十届委员会</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eyJoZGlkIjoiYzNiNmU3ODBhNjNmMzM1ZWY3YmI4MzliOTY3NGMxNzMiLCJ1c2VySWQiOiIxNjkwMzU1OTI0In0=</vt:lpwstr>
  </property>
  <property fmtid="{D5CDD505-2E9C-101B-9397-08002B2CF9AE}" pid="4" name="ICV">
    <vt:lpwstr>2EFCE9CB97AB4B2B8E6505B80353C446_12</vt:lpwstr>
  </property>
</Properties>
</file>