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9B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"/>
          <w:woUserID w:val="6"/>
        </w:rPr>
      </w:pPr>
      <w:r>
        <w:rPr>
          <w:rFonts w:hint="eastAsia" w:ascii="黑体" w:hAnsi="黑体" w:eastAsia="黑体" w:cs="黑体"/>
          <w:sz w:val="32"/>
          <w:szCs w:val="32"/>
          <w:lang w:eastAsia="zh"/>
          <w:woUserID w:val="6"/>
        </w:rPr>
        <w:t>附件2</w:t>
      </w:r>
    </w:p>
    <w:p w14:paraId="15D4F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上海市蔬菜产业高质量发展行动方案</w:t>
      </w:r>
    </w:p>
    <w:p w14:paraId="23B42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"/>
          <w:woUserID w:val="4"/>
        </w:rPr>
        <w:t>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2030年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</w:p>
    <w:p w14:paraId="54EE7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bidi="ar"/>
        </w:rPr>
      </w:pPr>
    </w:p>
    <w:p w14:paraId="70E89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为深入贯彻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 w:bidi="ar"/>
          <w:woUserID w:val="6"/>
        </w:rPr>
        <w:t>落实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</w:rPr>
        <w:t>《加快农业农村现代化“十五五”规划》《加快建设农业强国规划（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"/>
        </w:rPr>
        <w:t>2024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" w:bidi="ar"/>
          <w:woUserID w:val="4"/>
        </w:rPr>
        <w:t>—</w:t>
      </w:r>
      <w:bookmarkStart w:id="26" w:name="_GoBack"/>
      <w:bookmarkEnd w:id="26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"/>
        </w:rPr>
        <w:t>2035年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</w:rPr>
        <w:t>）》《全国现代设施农业建设规划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 w:bidi="ar"/>
          <w:woUserID w:val="4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</w:rPr>
        <w:t>2023—2030年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 w:bidi="ar"/>
          <w:woUserID w:val="4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</w:rPr>
        <w:t>》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</w:rPr>
        <w:t>国家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规划要求，全面落实《上海市推进乡村全面振兴</w:t>
      </w:r>
      <w:r>
        <w:rPr>
          <w:rFonts w:ascii="Times New Roman" w:hAnsi="Times New Roman" w:eastAsia="仿宋_GB2312"/>
          <w:sz w:val="32"/>
          <w:szCs w:val="32"/>
          <w:lang w:bidi="ar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十五五</w:t>
      </w:r>
      <w:r>
        <w:rPr>
          <w:rFonts w:ascii="Times New Roman" w:hAnsi="Times New Roman" w:eastAsia="仿宋_GB2312"/>
          <w:sz w:val="32"/>
          <w:szCs w:val="32"/>
          <w:lang w:bidi="ar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规划》相关部署，科学谋划未来五年上海市蔬菜产业高质量发展路径，制定本行动方案。</w:t>
      </w:r>
    </w:p>
    <w:p w14:paraId="47BDE7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主要目标</w:t>
      </w:r>
    </w:p>
    <w:p w14:paraId="4B090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lang w:bidi="ar"/>
        </w:rPr>
      </w:pPr>
      <w:bookmarkStart w:id="0" w:name="_Hlk202455814"/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全面落实市委、市政府关于发展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高科技、高品质、高附加值”农业的战略部署</w:t>
      </w:r>
      <w:bookmarkEnd w:id="0"/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立足上海市消费市场需求及生产资源禀赋，围绕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 w:bidi="ar"/>
        </w:rPr>
        <w:t>科技农业、绿色农业、质量农业、品牌农业四大方向，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优化蔬菜产业体系、生产体系、经营体系，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 w:bidi="ar"/>
        </w:rPr>
        <w:t>推动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蔬菜产业稳量、提质、延链、增效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 w:bidi="ar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</w:rPr>
        <w:t>擦亮上海蔬菜“新鲜、绿色、优质”品牌。</w:t>
      </w:r>
      <w:bookmarkStart w:id="1" w:name="OLE_LINK1"/>
      <w:r>
        <w:rPr>
          <w:rFonts w:hint="eastAsia" w:ascii="Times New Roman" w:hAnsi="Times New Roman" w:eastAsia="仿宋_GB2312"/>
          <w:sz w:val="32"/>
          <w:szCs w:val="32"/>
          <w:lang w:bidi="ar"/>
        </w:rPr>
        <w:t>到</w:t>
      </w:r>
      <w:r>
        <w:rPr>
          <w:rFonts w:ascii="Times New Roman" w:hAnsi="Times New Roman" w:eastAsia="仿宋_GB2312"/>
          <w:sz w:val="32"/>
          <w:szCs w:val="32"/>
          <w:lang w:bidi="ar"/>
        </w:rPr>
        <w:t>2030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年，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全市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蔬菜产业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实现高质量发展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，产业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深度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融合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、全链增值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综合效益明显提升。聚力打造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国际大都市高品质蔬菜核心供给区、设施蔬菜现代化发展标杆引领区、蔬菜产业数字化智慧化创新实践区，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推动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地产蔬菜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从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保供应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向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兴科技、优品质、强品牌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跃迁。规模化常年菜田面积稳定在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30万亩以上，蔬菜总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产值达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75亿元，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地产蔬菜综合自给率提升至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42%，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都市现代蔬菜产业发展新格局基本形成。</w:t>
      </w:r>
    </w:p>
    <w:bookmarkEnd w:id="1"/>
    <w:p w14:paraId="3FF7FDDD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任务举措</w:t>
      </w:r>
    </w:p>
    <w:p w14:paraId="7BB93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bookmarkStart w:id="2" w:name="_Toc221026655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优化蔬菜产业体系</w:t>
      </w:r>
      <w:bookmarkEnd w:id="2"/>
    </w:p>
    <w:p w14:paraId="7EC30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统筹生产空间布局。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保障全市规模化常年菜田面积不低于30万亩，推动全面上图入库。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各类设施菜田</w:t>
      </w:r>
      <w:r>
        <w:rPr>
          <w:rFonts w:hint="eastAsia" w:ascii="仿宋_GB2312" w:hAnsi="仿宋_GB2312" w:eastAsia="仿宋_GB2312" w:cs="仿宋_GB2312"/>
          <w:sz w:val="32"/>
          <w:szCs w:val="32"/>
        </w:rPr>
        <w:t>总面积保持在15万亩以上，推动有条件的菜田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逐步</w:t>
      </w:r>
      <w:r>
        <w:rPr>
          <w:rFonts w:hint="eastAsia" w:ascii="仿宋_GB2312" w:hAnsi="仿宋_GB2312" w:eastAsia="仿宋_GB2312" w:cs="仿宋_GB2312"/>
          <w:sz w:val="32"/>
          <w:szCs w:val="32"/>
        </w:rPr>
        <w:t>升级为高标准设施菜田。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扩展核心基地作物种类，将绿叶菜核心基地拓展为蔬菜核心基地</w:t>
      </w:r>
      <w:r>
        <w:rPr>
          <w:rFonts w:hint="eastAsia" w:ascii="仿宋_GB2312" w:hAnsi="仿宋_GB2312" w:eastAsia="仿宋_GB2312" w:cs="仿宋_GB2312"/>
          <w:sz w:val="32"/>
          <w:szCs w:val="32"/>
        </w:rPr>
        <w:t>，总面积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增加至</w:t>
      </w:r>
      <w:r>
        <w:rPr>
          <w:rFonts w:hint="eastAsia" w:ascii="仿宋_GB2312" w:hAnsi="仿宋_GB2312" w:eastAsia="仿宋_GB2312" w:cs="仿宋_GB2312"/>
          <w:sz w:val="32"/>
          <w:szCs w:val="32"/>
        </w:rPr>
        <w:t>10万亩。因地制宜发展季节性菜田，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稳定蔬菜生产空间，增强城市保供能力。</w:t>
      </w:r>
      <w:bookmarkStart w:id="3" w:name="_Hlk218009969"/>
      <w:bookmarkStart w:id="4" w:name="_Hlk218009539"/>
      <w:bookmarkStart w:id="5" w:name="_Hlk218009609"/>
      <w:bookmarkStart w:id="6" w:name="_Toc5365"/>
      <w:bookmarkStart w:id="7" w:name="_Hlk218009523"/>
      <w:bookmarkStart w:id="8" w:name="_Toc15495"/>
      <w:r>
        <w:rPr>
          <w:rFonts w:hint="eastAsia" w:ascii="Times New Roman" w:hAnsi="Times New Roman" w:eastAsia="仿宋_GB2312"/>
          <w:sz w:val="32"/>
          <w:szCs w:val="32"/>
          <w:lang w:bidi="ar"/>
        </w:rPr>
        <w:t>立足现代设施农业片区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集聚智能温室、植物工厂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等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高端设施项目</w:t>
      </w:r>
      <w:bookmarkEnd w:id="3"/>
      <w:r>
        <w:rPr>
          <w:rFonts w:hint="eastAsia" w:ascii="Times New Roman" w:hAnsi="Times New Roman" w:eastAsia="仿宋_GB2312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结合各片区资源禀赋，系统谋划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项目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招引和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管理，探索打造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" w:bidi="ar"/>
          <w:woUserID w:val="6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个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标杆性设施蔬菜项目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十五五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期间累计引进落地高能级设施蔬菜项目不少于</w:t>
      </w:r>
      <w:r>
        <w:rPr>
          <w:rFonts w:ascii="Times New Roman" w:hAnsi="Times New Roman" w:eastAsia="仿宋_GB2312"/>
          <w:sz w:val="32"/>
          <w:szCs w:val="32"/>
          <w:lang w:bidi="ar"/>
        </w:rPr>
        <w:t>1000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亩。</w:t>
      </w:r>
      <w:bookmarkStart w:id="9" w:name="_Hlk218009583"/>
    </w:p>
    <w:p w14:paraId="29D91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" w:bidi="ar"/>
          <w:woUserID w:val="6"/>
        </w:rPr>
        <w:t xml:space="preserve"> 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lang w:val="en-US" w:eastAsia="zh-CN" w:bidi="ar"/>
        </w:rPr>
        <w:t>强化农业科技创新</w:t>
      </w:r>
      <w:bookmarkEnd w:id="9"/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聚焦服务国家战略的蔬菜“大品种”与服务本地生产的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小而美”特色品种，加强蔬菜种源及其配套技术的创新攻关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立足市场导向优化蔬菜品类结构，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提升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高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品质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、高附加值及地方特色蔬菜品种的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种植比例。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eastAsia="zh-CN" w:bidi="ar"/>
        </w:rPr>
        <w:t>加快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设施农业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研发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平台建设，推动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高端智能温室设施装备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集成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创新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围绕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移栽、采收等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机械化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堵点环节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 w:bidi="ar"/>
        </w:rPr>
        <w:t>加快短板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val="en-US" w:eastAsia="zh-CN" w:bidi="ar"/>
        </w:rPr>
        <w:t>农机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装备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研发应用，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探索模块化、自动化、工厂化高效生产技术。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优化种养结合模式与轮作休耕制度，推广稻菜轮作、菜菌套作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、林下种植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复合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耕作模式。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支持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生物防治、理化诱控、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土壤保育和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精准水肥一体化等生产技术研发。</w:t>
      </w:r>
    </w:p>
    <w:p w14:paraId="376E0C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sz w:val="32"/>
          <w:szCs w:val="32"/>
        </w:rPr>
      </w:pPr>
      <w:bookmarkStart w:id="10" w:name="_Hlk218009694"/>
      <w:bookmarkStart w:id="11" w:name="_Hlk211930863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 w:bidi="ar"/>
          <w:woUserID w:val="6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 w:bidi="ar"/>
        </w:rPr>
        <w:t>推动产业融合增值。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围绕蔬菜优势产区、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关键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流通节点，布局蔬菜集采集配和加工流通中心。创新鲜食体验，推进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农庄直供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模式，打造若干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田间餐桌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bookmarkEnd w:id="10"/>
      <w:r>
        <w:rPr>
          <w:rFonts w:hint="eastAsia" w:ascii="Times New Roman" w:hAnsi="Times New Roman" w:eastAsia="仿宋_GB2312"/>
          <w:sz w:val="32"/>
          <w:szCs w:val="32"/>
          <w:lang w:bidi="ar"/>
        </w:rPr>
        <w:t>着力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突破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蔬菜预冷、储藏保鲜等延时类加工关键技术，支持规模生产主体提高蔬菜产地净菜处理能力，做好农产品清洗、分拣、分级和包装等商品化工作，提高蔬菜初加工率和蔬菜商品化处理率。积极开展真空包装蔬菜、即烹菜等蔬菜产品及加工工艺研发，丰富鲜切菜、轻食等即食蔬菜产品品类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。</w:t>
      </w:r>
      <w:bookmarkEnd w:id="11"/>
      <w:r>
        <w:rPr>
          <w:rFonts w:hint="eastAsia" w:ascii="Times New Roman" w:hAnsi="Times New Roman" w:eastAsia="仿宋_GB2312"/>
          <w:sz w:val="32"/>
          <w:szCs w:val="32"/>
          <w:lang w:bidi="ar"/>
        </w:rPr>
        <w:t>拓展蔬菜生产基地功能，与休闲观光、农耕体验、节庆采摘、创意美食等深度融合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 w:bidi="ar"/>
        </w:rPr>
        <w:t>着力做好农文商旅体展融合大文章，把乡村颜值、文化元素融入基地建设，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提高产业综合效益。</w:t>
      </w:r>
    </w:p>
    <w:p w14:paraId="371402FE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/>
        <w:textAlignment w:val="auto"/>
        <w:rPr>
          <w:rFonts w:hint="eastAsia" w:ascii="楷体_GB2312" w:hAnsi="楷体_GB2312" w:cs="楷体_GB2312"/>
          <w:sz w:val="32"/>
          <w:szCs w:val="32"/>
        </w:rPr>
      </w:pPr>
      <w:bookmarkStart w:id="12" w:name="_Toc221026659"/>
      <w:r>
        <w:rPr>
          <w:rFonts w:hint="eastAsia" w:ascii="楷体_GB2312" w:hAnsi="楷体_GB2312" w:cs="楷体_GB2312"/>
          <w:sz w:val="32"/>
          <w:szCs w:val="32"/>
        </w:rPr>
        <w:t>（二）优化蔬菜生产体系</w:t>
      </w:r>
      <w:bookmarkEnd w:id="12"/>
    </w:p>
    <w:p w14:paraId="2DCF98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woUserID w:val="0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推进设施提档升级。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</w:rPr>
        <w:t>优化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调整设施菜田建设政策，探索奖补制、项目制结合实施路径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。加快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更新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超年限使用的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老旧大棚，推进</w:t>
      </w:r>
      <w:r>
        <w:rPr>
          <w:rFonts w:ascii="Times New Roman" w:hAnsi="Times New Roman" w:eastAsia="仿宋_GB2312"/>
          <w:sz w:val="32"/>
          <w:szCs w:val="32"/>
          <w:lang w:bidi="ar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万亩设施菜田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建设和更新改造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提升露地菜田基础设施水平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 w:bidi="ar"/>
        </w:rPr>
        <w:t>坚持建管并重，建立健全设施菜田长效管护机制，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</w:rPr>
        <w:t>围绕建设、验收、管理、维护、更新、报废等环节，依托线上管理平台，健全蔬菜生产设施全生命周期管理体系。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强化金融赋能，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合理界定设施菜田资产权属，探索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农业设施抵押融资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贷款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等实施路径。</w:t>
      </w:r>
    </w:p>
    <w:p w14:paraId="50B8D0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"/>
          <w:woUserID w:val="0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 w:bidi="ar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"/>
        </w:rPr>
        <w:t>提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 w:bidi="ar"/>
        </w:rPr>
        <w:t>升绿色生产水平。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 w:bidi="ar"/>
        </w:rPr>
        <w:t>加强绿色生产技术集成应用，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 w:bidi="ar"/>
        </w:rPr>
        <w:t>集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成示范水肥一体化技术，扩大绿色防控技术覆盖面，提升土壤质量和废弃物综合利用率。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支持和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引导主体积极开展绿色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和有机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认证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。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 w:bidi="ar"/>
        </w:rPr>
        <w:t>加快蔬菜绿色生产全链条标准体系建设，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鼓励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技术推广部门、产业技术体系、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行业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协会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等牵头制定完善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蔬菜绿色生产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标准体系。严格落实农产品质量安全监管与追溯制度，推行承诺达标合格证信息化管理应用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。到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2030年，全市蔬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val="en-US" w:eastAsia="zh-CN" w:bidi="ar"/>
        </w:rPr>
        <w:t>菜绿色认证率达32%，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市级例行监测合格率达99.5%以上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bookmarkStart w:id="13" w:name="_Toc221026662"/>
    </w:p>
    <w:p w14:paraId="596C337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  <w:woUserID w:val="0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lang w:eastAsia="zh-CN"/>
        </w:rPr>
        <w:t>增强现代</w:t>
      </w:r>
      <w:r>
        <w:rPr>
          <w:rFonts w:hint="eastAsia" w:ascii="仿宋_GB2312" w:hAnsi="仿宋_GB2312" w:eastAsia="仿宋_GB2312" w:cs="仿宋_GB2312"/>
          <w:b/>
          <w:bCs/>
          <w:sz w:val="32"/>
        </w:rPr>
        <w:t>生产效能</w:t>
      </w:r>
      <w:bookmarkEnd w:id="4"/>
      <w:bookmarkEnd w:id="13"/>
      <w:r>
        <w:rPr>
          <w:rFonts w:hint="eastAsia" w:ascii="仿宋_GB2312" w:hAnsi="仿宋_GB2312" w:eastAsia="仿宋_GB2312" w:cs="仿宋_GB2312"/>
          <w:b/>
          <w:bCs/>
          <w:sz w:val="32"/>
          <w:lang w:eastAsia="zh-CN"/>
        </w:rPr>
        <w:t>。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eastAsia="zh-CN" w:bidi="ar"/>
        </w:rPr>
        <w:t>提升蔬菜机械化水平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bidi="ar"/>
        </w:rPr>
        <w:t>，推广应用小型化、智能化、多功能农机装备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eastAsia="zh-CN" w:bidi="ar"/>
        </w:rPr>
        <w:t>，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bidi="ar"/>
        </w:rPr>
        <w:t>强化农机与农艺融合，推动全链条机械化升级。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eastAsia="zh-CN" w:bidi="ar"/>
        </w:rPr>
        <w:t>到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val="en-US" w:eastAsia="zh-CN" w:bidi="ar"/>
        </w:rPr>
        <w:t>2030年，全市蔬菜生产综合机械化率</w:t>
      </w:r>
      <w:r>
        <w:rPr>
          <w:rFonts w:hint="eastAsia" w:ascii="Times New Roman" w:hAnsi="Times New Roman" w:eastAsia="仿宋_GB2312"/>
          <w:b w:val="0"/>
          <w:bCs/>
          <w:color w:val="auto"/>
          <w:sz w:val="32"/>
          <w:szCs w:val="32"/>
          <w:lang w:val="en-US" w:eastAsia="zh-CN" w:bidi="ar"/>
        </w:rPr>
        <w:t>不低于60%。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val="en-US" w:eastAsia="zh-CN" w:bidi="ar"/>
        </w:rPr>
        <w:t>提升蔬菜智能化水平，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推进智慧菜园建设，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 w:bidi="ar"/>
        </w:rPr>
        <w:t>加快智能化设施装备应用步伐，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加强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环境控制系统、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监测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传感器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农业机器人、病虫害预警系统、水肥一体化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系统等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技术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应用。建立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智能温室数据采集规范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推动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数据采集、传输、存储与应用设施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标准化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bookmarkStart w:id="14" w:name="_Hlk218009615"/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依托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农业生产信息直报系统建设，整合种植生产、市场需求、物流配送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、气象信息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等资源，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建立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蔬菜生产全流程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服务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体系。</w:t>
      </w:r>
      <w:bookmarkEnd w:id="14"/>
      <w:bookmarkStart w:id="15" w:name="_Toc221026663"/>
    </w:p>
    <w:p w14:paraId="5A356FD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优化蔬菜经营体系</w:t>
      </w:r>
      <w:bookmarkEnd w:id="15"/>
      <w:bookmarkStart w:id="16" w:name="_Toc221026664"/>
    </w:p>
    <w:p w14:paraId="7991A47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  <w:woUserID w:val="0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</w:rPr>
        <w:t>壮大经营主体</w:t>
      </w:r>
      <w:bookmarkEnd w:id="16"/>
      <w:bookmarkStart w:id="17" w:name="_Hlk218009564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 w:bidi="ar"/>
        </w:rPr>
        <w:t>充分发挥蔬菜领域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bidi="ar"/>
        </w:rPr>
        <w:t>龙头企业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 w:bidi="ar"/>
        </w:rPr>
        <w:t>带动作用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 w:bidi="ar"/>
        </w:rPr>
        <w:t>围绕优势主栽品种组建和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bidi="ar"/>
        </w:rPr>
        <w:t>培育一批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 w:bidi="ar"/>
        </w:rPr>
        <w:t>蔬菜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bidi="ar"/>
        </w:rPr>
        <w:t>产业化联合体。</w:t>
      </w:r>
      <w:bookmarkEnd w:id="17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bidi="ar"/>
        </w:rPr>
        <w:t>加强对链主企业的跟踪服务，支持延链强链。加强合作社在技术推广、订单销售、品牌建设等环节的集成服务能力，支持做大规模、做专特色。加大家庭农场人才培育力度，引导应用智慧农业技术，提升生产效率。</w:t>
      </w:r>
      <w:bookmarkEnd w:id="5"/>
      <w:bookmarkEnd w:id="6"/>
      <w:bookmarkEnd w:id="7"/>
      <w:bookmarkEnd w:id="8"/>
      <w:bookmarkStart w:id="18" w:name="_Toc221026665"/>
      <w:bookmarkStart w:id="19" w:name="_Hlk218009634"/>
      <w:bookmarkStart w:id="20" w:name="_Hlk218009535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 w:bidi="ar"/>
        </w:rPr>
        <w:t>完善联农带农机制，发挥龙头企业、合作社、家庭农场对农户特别是小农户的带动作用，促进农民就近就地就业增收。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 w:bidi="ar"/>
        </w:rPr>
        <w:t>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 w:bidi="ar"/>
        </w:rPr>
        <w:t>2030年，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头部主体生产面积累计15万亩，订单销售产量占比达40%。</w:t>
      </w:r>
    </w:p>
    <w:p w14:paraId="5E3C70A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  <w:woUserID w:val="0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</w:rPr>
        <w:t>深化产销衔接</w:t>
      </w:r>
      <w:bookmarkEnd w:id="18"/>
      <w:bookmarkStart w:id="21" w:name="_Hlk218009651"/>
      <w:bookmarkStart w:id="22" w:name="_Hlk218009688"/>
      <w:r>
        <w:rPr>
          <w:rFonts w:hint="eastAsia" w:ascii="仿宋_GB2312" w:hAnsi="仿宋_GB2312" w:eastAsia="仿宋_GB2312" w:cs="仿宋_GB2312"/>
          <w:b/>
          <w:bCs/>
          <w:sz w:val="32"/>
          <w:lang w:eastAsia="zh-CN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支持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申城蔬菜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品牌发挥引领作用，逐步构建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ascii="Times New Roman" w:hAnsi="Times New Roman" w:eastAsia="仿宋_GB2312"/>
          <w:sz w:val="32"/>
          <w:szCs w:val="32"/>
          <w:lang w:bidi="ar"/>
        </w:rPr>
        <w:t>1+N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蔬菜品牌矩阵，推动地产蔬菜品牌化销售比例提升。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支持各区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强化区级品牌，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围绕优势品类塑造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一区一品牌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。支持蔬菜龙头企业创建具有市场竞争力的自有品牌、高端品牌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。</w:t>
      </w:r>
      <w:bookmarkEnd w:id="19"/>
      <w:bookmarkEnd w:id="21"/>
      <w:bookmarkEnd w:id="22"/>
      <w:r>
        <w:rPr>
          <w:rFonts w:hint="eastAsia" w:ascii="Times New Roman" w:hAnsi="Times New Roman" w:eastAsia="仿宋_GB2312"/>
          <w:sz w:val="32"/>
          <w:szCs w:val="32"/>
          <w:lang w:bidi="ar"/>
        </w:rPr>
        <w:t>加强蔬菜直销市场建设，发展直销直营、电子商务等现代流通模式。支持经营主体与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电商平台、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超市、社区生鲜门店等建立长期稳定的供销关系，推动订单生产。拓展社区团购、电商直播等新渠道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新零售模式，促进线上线下融合与消费场景延伸。</w:t>
      </w:r>
      <w:bookmarkEnd w:id="20"/>
      <w:bookmarkStart w:id="23" w:name="_Toc221026666"/>
      <w:bookmarkStart w:id="24" w:name="_Hlk218009672"/>
    </w:p>
    <w:p w14:paraId="328EBDF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  <w:woUserID w:val="0"/>
        </w:rPr>
        <w:t>9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</w:rPr>
        <w:t>健全社会化服务</w:t>
      </w:r>
      <w:bookmarkEnd w:id="23"/>
      <w:bookmarkEnd w:id="24"/>
      <w:r>
        <w:rPr>
          <w:rFonts w:hint="eastAsia" w:ascii="仿宋_GB2312" w:hAnsi="仿宋_GB2312" w:eastAsia="仿宋_GB2312" w:cs="仿宋_GB2312"/>
          <w:b/>
          <w:bCs/>
          <w:sz w:val="32"/>
          <w:lang w:eastAsia="zh-CN"/>
        </w:rPr>
        <w:t>。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bidi="ar"/>
        </w:rPr>
        <w:t>依托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eastAsia="zh" w:bidi="ar"/>
          <w:woUserID w:val="4"/>
        </w:rPr>
        <w:t>“</w:t>
      </w:r>
      <w:r>
        <w:rPr>
          <w:rFonts w:ascii="Times New Roman" w:hAnsi="Times New Roman" w:eastAsia="仿宋_GB2312"/>
          <w:b w:val="0"/>
          <w:bCs/>
          <w:sz w:val="32"/>
          <w:szCs w:val="32"/>
          <w:lang w:bidi="ar"/>
        </w:rPr>
        <w:t>20+50+N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bidi="ar"/>
        </w:rPr>
        <w:t>的经营性农业社会化服务网络，完善蔬菜集约育苗、生产托管、采后加工、仓储物流、废弃物资源化利用等服务体系。面向主要产区，布局</w:t>
      </w:r>
      <w:r>
        <w:rPr>
          <w:rFonts w:ascii="Times New Roman" w:hAnsi="Times New Roman" w:eastAsia="仿宋_GB2312"/>
          <w:b w:val="0"/>
          <w:bCs/>
          <w:sz w:val="32"/>
          <w:szCs w:val="32"/>
          <w:lang w:bidi="ar"/>
        </w:rPr>
        <w:t>5</w:t>
      </w:r>
      <w:r>
        <w:rPr>
          <w:rFonts w:hint="eastAsia" w:ascii="Times New Roman" w:hAnsi="Times New Roman" w:eastAsia="仿宋_GB2312"/>
          <w:b w:val="0"/>
          <w:bCs/>
          <w:sz w:val="32"/>
          <w:szCs w:val="32"/>
          <w:lang w:bidi="ar"/>
        </w:rPr>
        <w:t>个市级集约化育苗中心。丰富农业保险种类，鼓励探索气象指数险、灾后成本补偿险等特色险种。支持现有经营主体延伸业务范围，培育蔬菜专业化服务组织。发挥农村集体经济组织居间服务优势和供销合作组织渠道优势，参与蔬菜产业社会化服务。依托市、区、镇三级农技推广网络，做好新品种、新技术、新模式、新装备的示范推广。</w:t>
      </w:r>
    </w:p>
    <w:p w14:paraId="2A1CD6F0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保障措施</w:t>
      </w:r>
    </w:p>
    <w:p w14:paraId="1EEDB1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5" w:name="OLE_LINK9"/>
      <w:r>
        <w:rPr>
          <w:rFonts w:hint="eastAsia" w:ascii="Times New Roman" w:hAnsi="Times New Roman" w:eastAsia="仿宋_GB2312"/>
          <w:sz w:val="32"/>
          <w:szCs w:val="32"/>
          <w:lang w:bidi="ar"/>
        </w:rPr>
        <w:t>依托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菜篮子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市长负责制，强化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生产责任落实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，加强部门协同联动，统筹推进产业布局优化、重大项目落地、要素保障供给、产业</w:t>
      </w: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智能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升级等工作。</w:t>
      </w:r>
      <w:bookmarkEnd w:id="25"/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 w:bidi="ar"/>
        </w:rPr>
        <w:t>强化资金保障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" w:bidi="ar"/>
          <w:woUserID w:val="4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健全财政资金引导、金融资本协同、社会资金参与的多元投入机制，统筹用好各类涉农资金。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积极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利用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国债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、基金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等金融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支持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推动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设施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提档升级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 w:bidi="ar"/>
        </w:rPr>
        <w:t>强化用地保障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" w:bidi="ar"/>
          <w:woUserID w:val="4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充分用好全域土地综合整治、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点状供地等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政策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工具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推动设施菜田、高端设施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蔬菜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充分融入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" w:bidi="ar"/>
          <w:woUserID w:val="6"/>
        </w:rPr>
        <w:t>宜居宜业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和美乡村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、沪派江南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等片区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布局。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 w:bidi="ar"/>
        </w:rPr>
        <w:t>强化政策保障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" w:bidi="ar"/>
          <w:woUserID w:val="4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优化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蔬菜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生产补贴、建设管理等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支持政策，</w:t>
      </w:r>
      <w:r>
        <w:rPr>
          <w:rFonts w:hint="eastAsia" w:ascii="Times New Roman" w:hAnsi="Times New Roman" w:eastAsia="仿宋_GB2312"/>
          <w:sz w:val="32"/>
          <w:szCs w:val="32"/>
          <w:lang w:eastAsia="zh-CN" w:bidi="ar"/>
        </w:rPr>
        <w:t>推动补贴从“补面积”到“补产量”“补品质”转变</w:t>
      </w:r>
      <w:r>
        <w:rPr>
          <w:rFonts w:hint="eastAsia" w:ascii="Times New Roman" w:hAnsi="Times New Roman" w:eastAsia="仿宋_GB2312"/>
          <w:sz w:val="32"/>
          <w:szCs w:val="32"/>
          <w:lang w:eastAsia="zh" w:bidi="ar"/>
          <w:woUserID w:val="4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bidi="ar"/>
        </w:rPr>
        <w:t>强化政策实施效果评价，推动评价结果与资金安排、奖补措施挂钩。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516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3A75B2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3A75B2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B4B3DB"/>
    <w:multiLevelType w:val="singleLevel"/>
    <w:tmpl w:val="F7B4B3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AFD40"/>
    <w:rsid w:val="00007DFB"/>
    <w:rsid w:val="00045C47"/>
    <w:rsid w:val="000D1FF2"/>
    <w:rsid w:val="000E3552"/>
    <w:rsid w:val="000E47A5"/>
    <w:rsid w:val="00151CDA"/>
    <w:rsid w:val="00196233"/>
    <w:rsid w:val="001D366F"/>
    <w:rsid w:val="00241BE8"/>
    <w:rsid w:val="00280170"/>
    <w:rsid w:val="00285807"/>
    <w:rsid w:val="002D1F05"/>
    <w:rsid w:val="0032386A"/>
    <w:rsid w:val="0035294A"/>
    <w:rsid w:val="003A4FA4"/>
    <w:rsid w:val="003A7938"/>
    <w:rsid w:val="003F1852"/>
    <w:rsid w:val="00430A91"/>
    <w:rsid w:val="00441916"/>
    <w:rsid w:val="00446428"/>
    <w:rsid w:val="00485257"/>
    <w:rsid w:val="004B52C0"/>
    <w:rsid w:val="004C5FCF"/>
    <w:rsid w:val="004D6169"/>
    <w:rsid w:val="00512737"/>
    <w:rsid w:val="005329D3"/>
    <w:rsid w:val="00532C84"/>
    <w:rsid w:val="00564E52"/>
    <w:rsid w:val="00593FA1"/>
    <w:rsid w:val="005B7ACB"/>
    <w:rsid w:val="005D2A63"/>
    <w:rsid w:val="00602A98"/>
    <w:rsid w:val="00614670"/>
    <w:rsid w:val="00633165"/>
    <w:rsid w:val="006540DC"/>
    <w:rsid w:val="00674CCB"/>
    <w:rsid w:val="00675C7F"/>
    <w:rsid w:val="00686279"/>
    <w:rsid w:val="006B57D9"/>
    <w:rsid w:val="006B6FDE"/>
    <w:rsid w:val="0070453D"/>
    <w:rsid w:val="007142E9"/>
    <w:rsid w:val="007200A8"/>
    <w:rsid w:val="00745854"/>
    <w:rsid w:val="0076527F"/>
    <w:rsid w:val="0079266E"/>
    <w:rsid w:val="007B3909"/>
    <w:rsid w:val="007D6D7D"/>
    <w:rsid w:val="00803929"/>
    <w:rsid w:val="008405B2"/>
    <w:rsid w:val="00853CB1"/>
    <w:rsid w:val="00862B4C"/>
    <w:rsid w:val="008704D1"/>
    <w:rsid w:val="0087464F"/>
    <w:rsid w:val="0088513A"/>
    <w:rsid w:val="008B48FE"/>
    <w:rsid w:val="008D34F2"/>
    <w:rsid w:val="009126D5"/>
    <w:rsid w:val="009361CF"/>
    <w:rsid w:val="00956676"/>
    <w:rsid w:val="00962F36"/>
    <w:rsid w:val="009E07B0"/>
    <w:rsid w:val="009E226B"/>
    <w:rsid w:val="00A11C84"/>
    <w:rsid w:val="00A633DF"/>
    <w:rsid w:val="00A64EFD"/>
    <w:rsid w:val="00A77195"/>
    <w:rsid w:val="00A806F6"/>
    <w:rsid w:val="00A94E86"/>
    <w:rsid w:val="00B44FCA"/>
    <w:rsid w:val="00B74F0F"/>
    <w:rsid w:val="00BB36B2"/>
    <w:rsid w:val="00BC5C2C"/>
    <w:rsid w:val="00BC67B0"/>
    <w:rsid w:val="00BE458B"/>
    <w:rsid w:val="00C2184E"/>
    <w:rsid w:val="00C2561F"/>
    <w:rsid w:val="00C62104"/>
    <w:rsid w:val="00C74E0C"/>
    <w:rsid w:val="00C75CCF"/>
    <w:rsid w:val="00C76EC6"/>
    <w:rsid w:val="00CB2C3F"/>
    <w:rsid w:val="00CB6962"/>
    <w:rsid w:val="00CB6EE8"/>
    <w:rsid w:val="00CC7F4F"/>
    <w:rsid w:val="00CF3D2F"/>
    <w:rsid w:val="00D23C5C"/>
    <w:rsid w:val="00D419D2"/>
    <w:rsid w:val="00D528B3"/>
    <w:rsid w:val="00D61679"/>
    <w:rsid w:val="00DA24C8"/>
    <w:rsid w:val="00DD618C"/>
    <w:rsid w:val="00E10C65"/>
    <w:rsid w:val="00E130C0"/>
    <w:rsid w:val="00E15DC2"/>
    <w:rsid w:val="00E233A7"/>
    <w:rsid w:val="00E414BF"/>
    <w:rsid w:val="00E52E16"/>
    <w:rsid w:val="00E71FF9"/>
    <w:rsid w:val="00E940E0"/>
    <w:rsid w:val="00EF472C"/>
    <w:rsid w:val="00F17C1A"/>
    <w:rsid w:val="00F2021F"/>
    <w:rsid w:val="00F37381"/>
    <w:rsid w:val="00FA49A8"/>
    <w:rsid w:val="00FB06DA"/>
    <w:rsid w:val="00FB1F82"/>
    <w:rsid w:val="00FC2558"/>
    <w:rsid w:val="00FC638E"/>
    <w:rsid w:val="00FE046A"/>
    <w:rsid w:val="00FF50FC"/>
    <w:rsid w:val="035C5045"/>
    <w:rsid w:val="0526590B"/>
    <w:rsid w:val="05F3E1CA"/>
    <w:rsid w:val="06FD0F2E"/>
    <w:rsid w:val="08B03E69"/>
    <w:rsid w:val="096240DE"/>
    <w:rsid w:val="09EF28BB"/>
    <w:rsid w:val="0B5C7B7E"/>
    <w:rsid w:val="0CC46135"/>
    <w:rsid w:val="0E214EC1"/>
    <w:rsid w:val="11EC15D4"/>
    <w:rsid w:val="12B53933"/>
    <w:rsid w:val="15237DE9"/>
    <w:rsid w:val="180D6418"/>
    <w:rsid w:val="198D75A9"/>
    <w:rsid w:val="19B874E5"/>
    <w:rsid w:val="1CFB4346"/>
    <w:rsid w:val="1DFF3999"/>
    <w:rsid w:val="1E1D5F75"/>
    <w:rsid w:val="1E3E386E"/>
    <w:rsid w:val="1EFAC4EE"/>
    <w:rsid w:val="1F460C2C"/>
    <w:rsid w:val="1F77FAB7"/>
    <w:rsid w:val="1F826B41"/>
    <w:rsid w:val="1FBB0D02"/>
    <w:rsid w:val="1FBC2C9C"/>
    <w:rsid w:val="289723BE"/>
    <w:rsid w:val="2B455A0D"/>
    <w:rsid w:val="2C547693"/>
    <w:rsid w:val="2F3EE70E"/>
    <w:rsid w:val="3077BD8A"/>
    <w:rsid w:val="33FF5D9A"/>
    <w:rsid w:val="347F3405"/>
    <w:rsid w:val="36FAFD40"/>
    <w:rsid w:val="3997017B"/>
    <w:rsid w:val="39FF1738"/>
    <w:rsid w:val="3A7EC408"/>
    <w:rsid w:val="3D1FB97A"/>
    <w:rsid w:val="3DFFAB82"/>
    <w:rsid w:val="3EBFAD86"/>
    <w:rsid w:val="3F244605"/>
    <w:rsid w:val="3F7F7A8B"/>
    <w:rsid w:val="3F9BB0D9"/>
    <w:rsid w:val="3FAE31ED"/>
    <w:rsid w:val="3FC714A9"/>
    <w:rsid w:val="3FED12FB"/>
    <w:rsid w:val="40E04B80"/>
    <w:rsid w:val="446020B4"/>
    <w:rsid w:val="44E410B5"/>
    <w:rsid w:val="4B6FD0F3"/>
    <w:rsid w:val="4CCA439B"/>
    <w:rsid w:val="4F7F76BE"/>
    <w:rsid w:val="513A1AEF"/>
    <w:rsid w:val="55AFA2F0"/>
    <w:rsid w:val="578F984C"/>
    <w:rsid w:val="57948A8B"/>
    <w:rsid w:val="57A8D6B9"/>
    <w:rsid w:val="58704C02"/>
    <w:rsid w:val="58EE727C"/>
    <w:rsid w:val="5ADF566A"/>
    <w:rsid w:val="5AFD06E1"/>
    <w:rsid w:val="5BDEEDE0"/>
    <w:rsid w:val="5E329B63"/>
    <w:rsid w:val="5E7BF492"/>
    <w:rsid w:val="5E8A398A"/>
    <w:rsid w:val="5EBF142E"/>
    <w:rsid w:val="5F89EF35"/>
    <w:rsid w:val="5FB6FD5C"/>
    <w:rsid w:val="624F4BF9"/>
    <w:rsid w:val="644D348F"/>
    <w:rsid w:val="65EEAB24"/>
    <w:rsid w:val="67BB3D14"/>
    <w:rsid w:val="67DF1A86"/>
    <w:rsid w:val="68FE9A8A"/>
    <w:rsid w:val="696C260A"/>
    <w:rsid w:val="6BB708B3"/>
    <w:rsid w:val="6BFFACEE"/>
    <w:rsid w:val="6CD3474E"/>
    <w:rsid w:val="6CDF7CFE"/>
    <w:rsid w:val="6F3F87D2"/>
    <w:rsid w:val="6FC82564"/>
    <w:rsid w:val="704C4F43"/>
    <w:rsid w:val="72FA9A3D"/>
    <w:rsid w:val="72FF914E"/>
    <w:rsid w:val="731E2BC7"/>
    <w:rsid w:val="733DE2E1"/>
    <w:rsid w:val="75DB5505"/>
    <w:rsid w:val="763CD613"/>
    <w:rsid w:val="76E71A11"/>
    <w:rsid w:val="76F79EA4"/>
    <w:rsid w:val="771E3B7D"/>
    <w:rsid w:val="77F2FE8C"/>
    <w:rsid w:val="77F32CCF"/>
    <w:rsid w:val="77F6BE6F"/>
    <w:rsid w:val="77F7AA69"/>
    <w:rsid w:val="77FB38D9"/>
    <w:rsid w:val="77FF2F3D"/>
    <w:rsid w:val="793B5FBA"/>
    <w:rsid w:val="79F5EA60"/>
    <w:rsid w:val="7D7C3B48"/>
    <w:rsid w:val="7DA74E9E"/>
    <w:rsid w:val="7DDF752C"/>
    <w:rsid w:val="7E1763F4"/>
    <w:rsid w:val="7E8A310F"/>
    <w:rsid w:val="7ECF5E8E"/>
    <w:rsid w:val="7EE9C590"/>
    <w:rsid w:val="7EFEE85E"/>
    <w:rsid w:val="7EFF8B14"/>
    <w:rsid w:val="7F35809F"/>
    <w:rsid w:val="7F3E47A9"/>
    <w:rsid w:val="7F3FBD41"/>
    <w:rsid w:val="7F5F07ED"/>
    <w:rsid w:val="7F7496D8"/>
    <w:rsid w:val="7F9AFD89"/>
    <w:rsid w:val="7FABCE19"/>
    <w:rsid w:val="7FE5B448"/>
    <w:rsid w:val="7FE68133"/>
    <w:rsid w:val="7FF7039D"/>
    <w:rsid w:val="7FFE7E77"/>
    <w:rsid w:val="7FFE8B71"/>
    <w:rsid w:val="82E99E6C"/>
    <w:rsid w:val="82EA9DCB"/>
    <w:rsid w:val="87B60ABA"/>
    <w:rsid w:val="8AEB0E34"/>
    <w:rsid w:val="9BFB8493"/>
    <w:rsid w:val="9D1F7E4F"/>
    <w:rsid w:val="9EFFB97A"/>
    <w:rsid w:val="9F7FF525"/>
    <w:rsid w:val="9F9AC2F6"/>
    <w:rsid w:val="9FDBE67F"/>
    <w:rsid w:val="9FF1E0B1"/>
    <w:rsid w:val="A5FF72AA"/>
    <w:rsid w:val="AFEDBBAA"/>
    <w:rsid w:val="B3FFF6B2"/>
    <w:rsid w:val="B73F3544"/>
    <w:rsid w:val="B7DE2C2C"/>
    <w:rsid w:val="B9A7DCB1"/>
    <w:rsid w:val="BA4ECC94"/>
    <w:rsid w:val="BAFD579A"/>
    <w:rsid w:val="BBAAC437"/>
    <w:rsid w:val="BBF995CE"/>
    <w:rsid w:val="BDFE1E11"/>
    <w:rsid w:val="BEFDB770"/>
    <w:rsid w:val="BEFF9830"/>
    <w:rsid w:val="BFBF8A97"/>
    <w:rsid w:val="BFDFAB56"/>
    <w:rsid w:val="C6CF4212"/>
    <w:rsid w:val="CDBE89A3"/>
    <w:rsid w:val="D3EF4D3A"/>
    <w:rsid w:val="D4A83F0C"/>
    <w:rsid w:val="D6E30173"/>
    <w:rsid w:val="D9FD4392"/>
    <w:rsid w:val="DB56180A"/>
    <w:rsid w:val="DBD921CF"/>
    <w:rsid w:val="DBDF99AE"/>
    <w:rsid w:val="DDEF82A4"/>
    <w:rsid w:val="DF7F6A02"/>
    <w:rsid w:val="DFD7077F"/>
    <w:rsid w:val="E3FB7239"/>
    <w:rsid w:val="E73F2A53"/>
    <w:rsid w:val="E7DDE9B9"/>
    <w:rsid w:val="E9FBAB50"/>
    <w:rsid w:val="EAFD73DF"/>
    <w:rsid w:val="EB3E713F"/>
    <w:rsid w:val="EBFCD0E8"/>
    <w:rsid w:val="ED7FD4BD"/>
    <w:rsid w:val="EFDBD699"/>
    <w:rsid w:val="EFEFFA6E"/>
    <w:rsid w:val="EFF592F9"/>
    <w:rsid w:val="F37E0351"/>
    <w:rsid w:val="F3DBE7E9"/>
    <w:rsid w:val="F4FF0CD8"/>
    <w:rsid w:val="F5DE6CDB"/>
    <w:rsid w:val="F6373A1A"/>
    <w:rsid w:val="F77F2AC2"/>
    <w:rsid w:val="F78DEFD5"/>
    <w:rsid w:val="F7AE2A07"/>
    <w:rsid w:val="F7D5E5EC"/>
    <w:rsid w:val="F7EF6A9F"/>
    <w:rsid w:val="F7F7E09F"/>
    <w:rsid w:val="F7F9BC95"/>
    <w:rsid w:val="F7FD1CF2"/>
    <w:rsid w:val="F8FE5A8D"/>
    <w:rsid w:val="FAFFFE75"/>
    <w:rsid w:val="FB723038"/>
    <w:rsid w:val="FBFD0BD0"/>
    <w:rsid w:val="FBFE6677"/>
    <w:rsid w:val="FC73B6A1"/>
    <w:rsid w:val="FCFF7093"/>
    <w:rsid w:val="FDDC3AEB"/>
    <w:rsid w:val="FDDD5C66"/>
    <w:rsid w:val="FDFCE93F"/>
    <w:rsid w:val="FE3FF5DB"/>
    <w:rsid w:val="FE4DC52B"/>
    <w:rsid w:val="FED5718A"/>
    <w:rsid w:val="FEDF07E0"/>
    <w:rsid w:val="FF392766"/>
    <w:rsid w:val="FF4D7AB1"/>
    <w:rsid w:val="FF5A119A"/>
    <w:rsid w:val="FF7A0E62"/>
    <w:rsid w:val="FFAF91D1"/>
    <w:rsid w:val="FFB65A3C"/>
    <w:rsid w:val="FFBF8FBE"/>
    <w:rsid w:val="FFC46388"/>
    <w:rsid w:val="FFDFC4A1"/>
    <w:rsid w:val="FFED6E52"/>
    <w:rsid w:val="FFFE65AC"/>
    <w:rsid w:val="FFFE78CC"/>
    <w:rsid w:val="FFFF0FFD"/>
    <w:rsid w:val="FFFF7D0B"/>
    <w:rsid w:val="FFFF8291"/>
    <w:rsid w:val="FFFF9643"/>
    <w:rsid w:val="FFFFBF8D"/>
    <w:rsid w:val="FFFFEA8A"/>
    <w:rsid w:val="FFFFE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line="600" w:lineRule="exact"/>
      <w:ind w:firstLine="200" w:firstLineChars="200"/>
      <w:outlineLvl w:val="1"/>
    </w:pPr>
    <w:rPr>
      <w:rFonts w:ascii="Times New Roman" w:hAnsi="Times New Roman" w:eastAsia="楷体_GB2312"/>
      <w:b/>
      <w:sz w:val="30"/>
      <w:szCs w:val="40"/>
    </w:rPr>
  </w:style>
  <w:style w:type="paragraph" w:styleId="4">
    <w:name w:val="heading 3"/>
    <w:basedOn w:val="1"/>
    <w:next w:val="1"/>
    <w:link w:val="19"/>
    <w:qFormat/>
    <w:uiPriority w:val="0"/>
    <w:pPr>
      <w:keepNext/>
      <w:keepLines/>
      <w:spacing w:line="600" w:lineRule="exact"/>
      <w:ind w:firstLine="200" w:firstLineChars="200"/>
      <w:outlineLvl w:val="2"/>
    </w:pPr>
    <w:rPr>
      <w:rFonts w:ascii="Times New Roman" w:hAnsi="Times New Roman" w:eastAsia="仿宋_GB2312"/>
      <w:b/>
      <w:color w:val="000000"/>
      <w:sz w:val="30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ascii="宋体" w:hAnsi="Courier New"/>
    </w:rPr>
  </w:style>
  <w:style w:type="paragraph" w:styleId="7">
    <w:name w:val="header"/>
    <w:basedOn w:val="1"/>
    <w:link w:val="2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footnote text"/>
    <w:basedOn w:val="1"/>
    <w:link w:val="24"/>
    <w:qFormat/>
    <w:uiPriority w:val="0"/>
    <w:pPr>
      <w:snapToGrid w:val="0"/>
      <w:spacing w:line="240" w:lineRule="auto"/>
    </w:pPr>
    <w:rPr>
      <w:rFonts w:ascii="Times New Roman" w:hAnsi="Times New Roman" w:eastAsia="仿宋_GB2312"/>
      <w:sz w:val="18"/>
    </w:rPr>
  </w:style>
  <w:style w:type="paragraph" w:styleId="9">
    <w:name w:val="Title"/>
    <w:basedOn w:val="1"/>
    <w:link w:val="25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0">
    <w:name w:val="annotation subject"/>
    <w:basedOn w:val="5"/>
    <w:next w:val="5"/>
    <w:link w:val="26"/>
    <w:qFormat/>
    <w:uiPriority w:val="0"/>
    <w:rPr>
      <w:b/>
      <w:bCs/>
    </w:rPr>
  </w:style>
  <w:style w:type="character" w:styleId="13">
    <w:name w:val="Strong"/>
    <w:qFormat/>
    <w:uiPriority w:val="0"/>
    <w:rPr>
      <w:b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vertAlign w:val="superscript"/>
    </w:rPr>
  </w:style>
  <w:style w:type="paragraph" w:customStyle="1" w:styleId="16">
    <w:name w:val="解达表格格式"/>
    <w:basedOn w:val="6"/>
    <w:link w:val="17"/>
    <w:qFormat/>
    <w:uiPriority w:val="0"/>
    <w:pPr>
      <w:spacing w:line="600" w:lineRule="exact"/>
    </w:pPr>
    <w:rPr>
      <w:rFonts w:ascii="Times New Roman" w:hAnsi="Times New Roman"/>
      <w:b/>
      <w:bCs/>
      <w:sz w:val="28"/>
      <w:szCs w:val="32"/>
    </w:rPr>
  </w:style>
  <w:style w:type="character" w:customStyle="1" w:styleId="17">
    <w:name w:val="解达表格格式 字符"/>
    <w:link w:val="16"/>
    <w:qFormat/>
    <w:uiPriority w:val="0"/>
    <w:rPr>
      <w:rFonts w:hint="default" w:ascii="Times New Roman" w:hAnsi="Times New Roman" w:cs="Times New Roman"/>
      <w:b/>
      <w:bCs/>
      <w:kern w:val="2"/>
      <w:sz w:val="28"/>
      <w:szCs w:val="32"/>
    </w:rPr>
  </w:style>
  <w:style w:type="character" w:customStyle="1" w:styleId="18">
    <w:name w:val="标题 2 字符"/>
    <w:link w:val="3"/>
    <w:qFormat/>
    <w:uiPriority w:val="0"/>
    <w:rPr>
      <w:rFonts w:hint="eastAsia" w:ascii="楷体_GB2312" w:eastAsia="楷体_GB2312" w:cs="Times New Roman"/>
      <w:b/>
      <w:kern w:val="2"/>
      <w:sz w:val="30"/>
      <w:szCs w:val="40"/>
    </w:rPr>
  </w:style>
  <w:style w:type="character" w:customStyle="1" w:styleId="19">
    <w:name w:val="标题 3 字符"/>
    <w:link w:val="4"/>
    <w:qFormat/>
    <w:uiPriority w:val="0"/>
    <w:rPr>
      <w:rFonts w:hint="eastAsia" w:ascii="仿宋_GB2312" w:eastAsia="仿宋_GB2312" w:cs="Times New Roman"/>
      <w:b/>
      <w:color w:val="000000"/>
      <w:kern w:val="2"/>
      <w:sz w:val="30"/>
      <w:szCs w:val="32"/>
    </w:rPr>
  </w:style>
  <w:style w:type="character" w:customStyle="1" w:styleId="20">
    <w:name w:val="批注文字 字符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1">
    <w:name w:val="纯文本 字符"/>
    <w:link w:val="6"/>
    <w:qFormat/>
    <w:uiPriority w:val="0"/>
    <w:rPr>
      <w:rFonts w:ascii="等线" w:hAnsi="Courier New" w:eastAsia="等线" w:cs="Courier New"/>
      <w:kern w:val="2"/>
      <w:sz w:val="30"/>
      <w:szCs w:val="24"/>
    </w:rPr>
  </w:style>
  <w:style w:type="character" w:customStyle="1" w:styleId="22">
    <w:name w:val="页脚 字符"/>
    <w:link w:val="2"/>
    <w:qFormat/>
    <w:uiPriority w:val="0"/>
    <w:rPr>
      <w:rFonts w:hint="eastAsia" w:ascii="仿宋_GB2312" w:eastAsia="仿宋_GB2312" w:cs="Times New Roman"/>
      <w:kern w:val="2"/>
      <w:sz w:val="18"/>
      <w:szCs w:val="18"/>
    </w:rPr>
  </w:style>
  <w:style w:type="character" w:customStyle="1" w:styleId="23">
    <w:name w:val="页眉 字符"/>
    <w:link w:val="7"/>
    <w:qFormat/>
    <w:uiPriority w:val="0"/>
    <w:rPr>
      <w:rFonts w:hint="eastAsia" w:ascii="仿宋_GB2312" w:eastAsia="仿宋_GB2312" w:cs="Times New Roman"/>
      <w:kern w:val="2"/>
      <w:sz w:val="18"/>
      <w:szCs w:val="18"/>
    </w:rPr>
  </w:style>
  <w:style w:type="character" w:customStyle="1" w:styleId="24">
    <w:name w:val="脚注文本 字符"/>
    <w:link w:val="8"/>
    <w:qFormat/>
    <w:uiPriority w:val="0"/>
    <w:rPr>
      <w:rFonts w:hint="eastAsia" w:ascii="仿宋_GB2312" w:eastAsia="仿宋_GB2312" w:cs="Times New Roman"/>
      <w:kern w:val="2"/>
      <w:sz w:val="18"/>
      <w:szCs w:val="24"/>
    </w:rPr>
  </w:style>
  <w:style w:type="character" w:customStyle="1" w:styleId="25">
    <w:name w:val="标题 字符"/>
    <w:link w:val="9"/>
    <w:qFormat/>
    <w:uiPriority w:val="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26">
    <w:name w:val="批注主题 字符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27">
    <w:name w:val="font2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customStyle="1" w:styleId="28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9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2955</Words>
  <Characters>3023</Characters>
  <Lines>250</Lines>
  <Paragraphs>176</Paragraphs>
  <TotalTime>9</TotalTime>
  <ScaleCrop>false</ScaleCrop>
  <LinksUpToDate>false</LinksUpToDate>
  <CharactersWithSpaces>3032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2026-07-16T23:21:00Z</dcterms:created>
  <dc:creator>user</dc:creator>
  <cp:lastModifiedBy>yms</cp:lastModifiedBy>
  <cp:lastPrinted>2026-07-27T10:30:00Z</cp:lastPrinted>
  <dcterms:modified xsi:type="dcterms:W3CDTF">2026-09-15T02:57:14Z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D7C29EC7F09B7B80EB6BA36A41BABF94_43</vt:lpwstr>
  </property>
  <property fmtid="{D5CDD505-2E9C-101B-9397-08002B2CF9AE}" pid="4" name="KSOTemplateDocerSaveRecord">
    <vt:lpwstr>eyJoZGlkIjoiYzNiNmU3ODBhNjNmMzM1ZWY3YmI4MzliOTY3NGMxNzMiLCJ1c2VySWQiOiIxNjkwMzU1OTI0In0=</vt:lpwstr>
  </property>
</Properties>
</file>