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2019年度基本农田生态补偿工作考核区级自评表</w:t>
      </w:r>
    </w:p>
    <w:tbl>
      <w:tblPr>
        <w:tblStyle w:val="3"/>
        <w:tblpPr w:leftFromText="180" w:rightFromText="180" w:vertAnchor="text" w:horzAnchor="page" w:tblpX="1407" w:tblpY="296"/>
        <w:tblOverlap w:val="never"/>
        <w:tblW w:w="142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383"/>
        <w:gridCol w:w="2402"/>
        <w:gridCol w:w="1436"/>
        <w:gridCol w:w="689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考核内容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考核指标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考核分值</w:t>
            </w:r>
          </w:p>
        </w:tc>
        <w:tc>
          <w:tcPr>
            <w:tcW w:w="689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评分标准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自评打分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措施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（20分）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区工作方案制定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制定方案，得3分；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在规定时间前，将方案报送市农业农村委，得2分；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对乡镇工作考核检查机制执行情况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896" w:type="dxa"/>
            <w:vAlign w:val="center"/>
          </w:tcPr>
          <w:p>
            <w:pPr>
              <w:rPr>
                <w:rFonts w:hint="eastAsia"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制定考核方案得5分；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及时开展考核工作，得5分；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考核报告编制情况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形成考核检查报告，得3分；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在规定时间前，将报告报送市农业农村委，得2分；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1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资金使用情况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（30分）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年度资金分配方案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制定情况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制定资金分配方案，得5分；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在规定时间前，将方案报送区政府，得3分；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年度资金使用报告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形成资金使用报告，得4分；</w:t>
            </w:r>
          </w:p>
          <w:p>
            <w:pPr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在规定时间前，将报告报送市农业农村委，得2分；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年度基本农田生态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补偿资金执行率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资金执行率达到90%，得6分；达到80%，得4分；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达到70%，得2分；低于70%，不得分；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生态补偿资金使用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效果后评估机制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建立情况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实施后评估工作，得5分；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形成后评估报告，得5分；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12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8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保护成效情况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（50分）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耕地质量监测体系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建设情况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完成监测点建设数量，得4分；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每缺少1个监测点，扣1分，扣完为止；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耕地环境污染监测和评价体系建设情况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完成监测点建设数量，得4分；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每缺少1个监测点，扣1分，扣完为止；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耕地地力与环境质量报告报送情况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形成监测报告，得3分；</w:t>
            </w: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在规定时间前，将报告报送区政府，得2分；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耕地环境污染监测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报告报送情况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形成监测报告，得3分；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在规定时间前，将报告报送区政府，得2分；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主要农作物生产</w:t>
            </w:r>
          </w:p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能力情况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在划定的粮食生产功能区、蔬菜生产保护区面积范围内保持主要农作物生产稳定的，得4分；种植品种发生改变，面积在2%以下的，得2分；种植品种发生改变，面积在2%以上的，不得分；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年度推广使用商品有机肥计划完成情况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年度计划完成率达到100%，得5分；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达到90%，得3分；达到80%，得1分；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年度化肥与农药减量目标完成情况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年度计划完成率达到100%，得5分；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达到90%，得3分；达到80%，得1分；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年度菜田土壤改良计划完成情况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年度计划完成率达到100%，得5分；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达到90%，得3分；达到80%，得1分；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年度农药包装废弃物回收情况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年度回收率达到100%，得5分；达到95%，得3分；达到90%，得1分；90%以下，不得分；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耕地土壤有机质含量提升情况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6896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4"/>
                <w:szCs w:val="24"/>
                <w:lang w:bidi="ar"/>
              </w:rPr>
              <w:t>耕地土壤有机质平均含量水平有提升,得8分；保持原有含量平均水平，得5分；有机质含量水平下降不得分。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1361" w:right="2098" w:bottom="1531" w:left="209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30BCD"/>
    <w:rsid w:val="01DE2166"/>
    <w:rsid w:val="088E6D11"/>
    <w:rsid w:val="0AE534C3"/>
    <w:rsid w:val="24464F01"/>
    <w:rsid w:val="28A11F90"/>
    <w:rsid w:val="2A0C6FDC"/>
    <w:rsid w:val="2A3F6BED"/>
    <w:rsid w:val="2A9C6CCC"/>
    <w:rsid w:val="2B3B5CBE"/>
    <w:rsid w:val="2DB30BCD"/>
    <w:rsid w:val="319C1223"/>
    <w:rsid w:val="34E932D3"/>
    <w:rsid w:val="374320DC"/>
    <w:rsid w:val="41E84B44"/>
    <w:rsid w:val="46B44B5D"/>
    <w:rsid w:val="49780120"/>
    <w:rsid w:val="4C84722B"/>
    <w:rsid w:val="5BCE3EB6"/>
    <w:rsid w:val="6A672CDA"/>
    <w:rsid w:val="6EAC2B90"/>
    <w:rsid w:val="6F3C2880"/>
    <w:rsid w:val="777A48FD"/>
    <w:rsid w:val="77D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2020-03-20T05:46:00Z</dcterms:created>
  <dc:creator>徐杰（科技处）</dc:creator>
  <cp:lastModifiedBy>严茂森</cp:lastModifiedBy>
  <cp:lastPrinted>2020-04-03T01:51:00Z</cp:lastPrinted>
  <dcterms:modified xsi:type="dcterms:W3CDTF">2020-04-22T05:24:33Z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