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008000"/>
          <w:sz w:val="24"/>
        </w:rPr>
      </w:pPr>
      <w:bookmarkStart w:id="1" w:name="_GoBack"/>
      <w:bookmarkEnd w:id="1"/>
      <w:r>
        <w:rPr>
          <w:rFonts w:hint="eastAsia" w:ascii="宋体" w:hAnsi="宋体"/>
          <w:color w:val="008000"/>
          <w:sz w:val="24"/>
        </w:rPr>
        <w:t>提案内容：</w:t>
      </w:r>
    </w:p>
    <w:p>
      <w:pPr>
        <w:jc w:val="center"/>
        <w:rPr>
          <w:rFonts w:ascii="黑体" w:hAnsi="黑体" w:eastAsia="黑体"/>
          <w:b/>
          <w:sz w:val="44"/>
          <w:szCs w:val="44"/>
        </w:rPr>
      </w:pPr>
      <w:bookmarkStart w:id="0" w:name="casetitle2"/>
      <w:r>
        <w:rPr>
          <w:rFonts w:ascii="黑体" w:hAnsi="黑体" w:eastAsia="黑体"/>
          <w:b/>
          <w:sz w:val="44"/>
          <w:szCs w:val="44"/>
        </w:rPr>
        <w:t>关于深化集体经营性建设用地制度改革，扎实推进乡村共同富裕的提案</w:t>
      </w:r>
      <w:bookmarkEnd w:id="0"/>
    </w:p>
    <w:p>
      <w:pPr>
        <w:jc w:val="center"/>
        <w:rPr>
          <w:rFonts w:ascii="黑体" w:hAnsi="黑体" w:eastAsia="黑体"/>
          <w:sz w:val="44"/>
          <w:szCs w:val="44"/>
        </w:rPr>
      </w:pPr>
    </w:p>
    <w:p>
      <w:pPr>
        <w:rPr>
          <w:rFonts w:ascii="黑体" w:hAnsi="黑体" w:eastAsia="黑体"/>
          <w:b/>
          <w:color w:val="008000"/>
          <w:sz w:val="36"/>
          <w:szCs w:val="36"/>
        </w:rPr>
      </w:pPr>
    </w:p>
    <w:p>
      <w:pPr>
        <w:pStyle w:val="11"/>
        <w:rPr>
          <w:rStyle w:val="7"/>
          <w:rFonts w:ascii="Calibri" w:hAnsi="Calibri" w:eastAsia="宋体" w:cs="Times New Roman"/>
        </w:rPr>
      </w:pPr>
      <w:r>
        <w:rPr>
          <w:rStyle w:val="7"/>
          <w:rFonts w:ascii="宋体" w:hAnsi="宋体" w:eastAsia="宋体" w:cs="宋体"/>
          <w:b/>
          <w:color w:val="008000"/>
          <w:sz w:val="36"/>
        </w:rPr>
        <w:t>※背景情况※</w:t>
      </w:r>
    </w:p>
    <w:p>
      <w:pPr>
        <w:pStyle w:val="11"/>
        <w:keepNext w:val="0"/>
        <w:keepLines w:val="0"/>
        <w:pageBreakBefore w:val="0"/>
        <w:widowControl w:val="0"/>
        <w:kinsoku/>
        <w:wordWrap/>
        <w:overflowPunct/>
        <w:topLinePunct w:val="0"/>
        <w:autoSpaceDE/>
        <w:autoSpaceDN/>
        <w:bidi w:val="0"/>
        <w:adjustRightInd/>
        <w:snapToGrid/>
        <w:ind w:firstLine="640" w:firstLineChars="200"/>
        <w:textAlignment w:val="auto"/>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共同富裕是社会主义的本质要求，当前，最大难点和最艰巨的任务仍在农村。农村土地资源是发展集体经济的首要资源，是城乡要素融合的主要载体，是乡村推进共同富裕的基础支撑。二十大报告强调，“深化农村土地制度改革，赋予农民更加充分的财产权益”。上海作为社会主义国际化大都市、改革开放排头兵，有条件也有义务，在探索集体土地制度改革上，先行探路、走在前列；在促进城乡融合发展、推进共同富裕上，先行示范、作出表率。</w:t>
      </w:r>
    </w:p>
    <w:p>
      <w:pPr>
        <w:pStyle w:val="11"/>
        <w:rPr>
          <w:rStyle w:val="7"/>
          <w:rFonts w:ascii="Calibri" w:hAnsi="Calibri" w:eastAsia="宋体" w:cs="Times New Roman"/>
        </w:rPr>
      </w:pPr>
      <w:r>
        <w:rPr>
          <w:rStyle w:val="7"/>
          <w:rFonts w:ascii="宋体" w:hAnsi="宋体" w:eastAsia="宋体" w:cs="宋体"/>
          <w:b/>
          <w:color w:val="008000"/>
          <w:sz w:val="36"/>
        </w:rPr>
        <w:t>――――――――――――――――――――――</w:t>
      </w:r>
    </w:p>
    <w:p>
      <w:pPr>
        <w:pStyle w:val="11"/>
        <w:rPr>
          <w:rStyle w:val="7"/>
          <w:rFonts w:ascii="Calibri" w:hAnsi="Calibri" w:eastAsia="宋体" w:cs="Times New Roman"/>
        </w:rPr>
      </w:pPr>
      <w:r>
        <w:rPr>
          <w:rStyle w:val="7"/>
          <w:rFonts w:ascii="宋体" w:hAnsi="宋体" w:eastAsia="宋体" w:cs="宋体"/>
          <w:b/>
          <w:color w:val="008000"/>
          <w:sz w:val="36"/>
        </w:rPr>
        <w:t>※问题及分析※</w:t>
      </w:r>
    </w:p>
    <w:p>
      <w:pPr>
        <w:pStyle w:val="11"/>
        <w:keepNext w:val="0"/>
        <w:keepLines w:val="0"/>
        <w:pageBreakBefore w:val="0"/>
        <w:widowControl w:val="0"/>
        <w:kinsoku/>
        <w:wordWrap/>
        <w:overflowPunct/>
        <w:topLinePunct w:val="0"/>
        <w:autoSpaceDE/>
        <w:autoSpaceDN/>
        <w:bidi w:val="0"/>
        <w:adjustRightInd/>
        <w:snapToGrid/>
        <w:ind w:firstLine="640" w:firstLineChars="200"/>
        <w:textAlignment w:val="auto"/>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当前，集体经营性建设用地是集体经济获得收益的主要渠道。由于农村土地制度改革不到位，使得集体土地产权权能缺失，束缚了基层乡村的发展积极性，阻碍了集体经营性建设用地资产的盘活利用。</w:t>
      </w:r>
    </w:p>
    <w:p>
      <w:pPr>
        <w:pStyle w:val="11"/>
        <w:keepNext w:val="0"/>
        <w:keepLines w:val="0"/>
        <w:pageBreakBefore w:val="0"/>
        <w:widowControl w:val="0"/>
        <w:kinsoku/>
        <w:wordWrap/>
        <w:overflowPunct/>
        <w:topLinePunct w:val="0"/>
        <w:autoSpaceDE/>
        <w:autoSpaceDN/>
        <w:bidi w:val="0"/>
        <w:adjustRightInd/>
        <w:snapToGrid/>
        <w:ind w:firstLine="643" w:firstLineChars="200"/>
        <w:textAlignment w:val="auto"/>
        <w:rPr>
          <w:rStyle w:val="7"/>
          <w:rFonts w:hint="eastAsia" w:ascii="楷体_GB2312" w:hAnsi="楷体_GB2312" w:eastAsia="楷体_GB2312" w:cs="楷体_GB2312"/>
          <w:b/>
          <w:bCs/>
          <w:sz w:val="32"/>
          <w:szCs w:val="32"/>
        </w:rPr>
      </w:pPr>
      <w:r>
        <w:rPr>
          <w:rStyle w:val="7"/>
          <w:rFonts w:hint="eastAsia" w:ascii="楷体_GB2312" w:hAnsi="楷体_GB2312" w:eastAsia="楷体_GB2312" w:cs="楷体_GB2312"/>
          <w:b/>
          <w:bCs/>
          <w:sz w:val="32"/>
          <w:szCs w:val="32"/>
          <w:lang w:val="en-US" w:eastAsia="zh-CN"/>
        </w:rPr>
        <w:t>1、</w:t>
      </w:r>
      <w:r>
        <w:rPr>
          <w:rStyle w:val="7"/>
          <w:rFonts w:hint="eastAsia" w:ascii="楷体_GB2312" w:hAnsi="楷体_GB2312" w:eastAsia="楷体_GB2312" w:cs="楷体_GB2312"/>
          <w:b/>
          <w:bCs/>
          <w:sz w:val="32"/>
          <w:szCs w:val="32"/>
        </w:rPr>
        <w:t>收益分配机制不够完善，集体经营性建设用地入市可持续性不强</w:t>
      </w:r>
    </w:p>
    <w:p>
      <w:pPr>
        <w:pStyle w:val="11"/>
        <w:keepNext w:val="0"/>
        <w:keepLines w:val="0"/>
        <w:pageBreakBefore w:val="0"/>
        <w:widowControl w:val="0"/>
        <w:kinsoku/>
        <w:wordWrap/>
        <w:overflowPunct/>
        <w:topLinePunct w:val="0"/>
        <w:autoSpaceDE/>
        <w:autoSpaceDN/>
        <w:bidi w:val="0"/>
        <w:adjustRightInd/>
        <w:snapToGrid/>
        <w:ind w:firstLine="640" w:firstLineChars="200"/>
        <w:textAlignment w:val="auto"/>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就全国范围来看，集体经营性建设用地入市试点实践的差异主要体现在土地增值收益分配方面。我市的做法是将收益交由镇级集体经济组织统筹管理。这有其合理性，通过镇级集体统筹，可增加分配的公平性。但也造成了村级集体尽可能多列成本的行为，导致集体土地入市项目账面大都亏本，不利于集体土地入市的可持续。此外，对于基层政府来说，由于分享不到入市收益，缺乏推进入市工作的积极性，更倾向于集体建设用地减量化，将建设用地指标转移到城市开发边界内使用。</w:t>
      </w:r>
    </w:p>
    <w:p>
      <w:pPr>
        <w:pStyle w:val="11"/>
        <w:keepNext w:val="0"/>
        <w:keepLines w:val="0"/>
        <w:pageBreakBefore w:val="0"/>
        <w:widowControl w:val="0"/>
        <w:kinsoku/>
        <w:wordWrap/>
        <w:overflowPunct/>
        <w:topLinePunct w:val="0"/>
        <w:autoSpaceDE/>
        <w:autoSpaceDN/>
        <w:bidi w:val="0"/>
        <w:adjustRightInd/>
        <w:snapToGrid/>
        <w:ind w:firstLine="643" w:firstLineChars="200"/>
        <w:textAlignment w:val="auto"/>
        <w:rPr>
          <w:rStyle w:val="7"/>
          <w:rFonts w:hint="eastAsia" w:ascii="楷体_GB2312" w:hAnsi="楷体_GB2312" w:eastAsia="楷体_GB2312" w:cs="楷体_GB2312"/>
          <w:b/>
          <w:bCs/>
          <w:sz w:val="32"/>
          <w:szCs w:val="32"/>
        </w:rPr>
      </w:pPr>
      <w:r>
        <w:rPr>
          <w:rStyle w:val="7"/>
          <w:rFonts w:hint="eastAsia" w:ascii="楷体_GB2312" w:hAnsi="楷体_GB2312" w:eastAsia="楷体_GB2312" w:cs="楷体_GB2312"/>
          <w:b/>
          <w:bCs/>
          <w:sz w:val="32"/>
          <w:szCs w:val="32"/>
          <w:lang w:val="en-US" w:eastAsia="zh-CN"/>
        </w:rPr>
        <w:t>2、</w:t>
      </w:r>
      <w:r>
        <w:rPr>
          <w:rStyle w:val="7"/>
          <w:rFonts w:hint="eastAsia" w:ascii="楷体_GB2312" w:hAnsi="楷体_GB2312" w:eastAsia="楷体_GB2312" w:cs="楷体_GB2312"/>
          <w:b/>
          <w:bCs/>
          <w:sz w:val="32"/>
          <w:szCs w:val="32"/>
        </w:rPr>
        <w:t>风险化解机制尚未建立，集体土地作价入股实际操作难度较大</w:t>
      </w:r>
    </w:p>
    <w:p>
      <w:pPr>
        <w:pStyle w:val="11"/>
        <w:keepNext w:val="0"/>
        <w:keepLines w:val="0"/>
        <w:pageBreakBefore w:val="0"/>
        <w:widowControl w:val="0"/>
        <w:kinsoku/>
        <w:wordWrap/>
        <w:overflowPunct/>
        <w:topLinePunct w:val="0"/>
        <w:autoSpaceDE/>
        <w:autoSpaceDN/>
        <w:bidi w:val="0"/>
        <w:adjustRightInd/>
        <w:snapToGrid/>
        <w:ind w:firstLine="640" w:firstLineChars="200"/>
        <w:textAlignment w:val="auto"/>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从整体看，当前集体建设用地使用权作价入股实际操作难度仍然较大，主要原因就在于集体经济组织的特殊性。农村集体经济组织因自身具有经济和公共服务的双重职能，以及以土地作为成员权的主要保障，因此难以承担经营风险，也难以承担所占股份的权责，导致作价入股工作难以推进。</w:t>
      </w:r>
    </w:p>
    <w:p>
      <w:pPr>
        <w:pStyle w:val="11"/>
        <w:keepNext w:val="0"/>
        <w:keepLines w:val="0"/>
        <w:pageBreakBefore w:val="0"/>
        <w:widowControl w:val="0"/>
        <w:kinsoku/>
        <w:wordWrap/>
        <w:overflowPunct/>
        <w:topLinePunct w:val="0"/>
        <w:autoSpaceDE/>
        <w:autoSpaceDN/>
        <w:bidi w:val="0"/>
        <w:adjustRightInd/>
        <w:snapToGrid/>
        <w:ind w:firstLine="643" w:firstLineChars="200"/>
        <w:textAlignment w:val="auto"/>
        <w:rPr>
          <w:rStyle w:val="7"/>
          <w:rFonts w:hint="eastAsia" w:ascii="楷体_GB2312" w:hAnsi="楷体_GB2312" w:eastAsia="楷体_GB2312" w:cs="楷体_GB2312"/>
          <w:b/>
          <w:bCs/>
          <w:sz w:val="32"/>
          <w:szCs w:val="32"/>
        </w:rPr>
      </w:pPr>
      <w:r>
        <w:rPr>
          <w:rStyle w:val="7"/>
          <w:rFonts w:hint="eastAsia" w:ascii="楷体_GB2312" w:hAnsi="楷体_GB2312" w:eastAsia="楷体_GB2312" w:cs="楷体_GB2312"/>
          <w:b/>
          <w:bCs/>
          <w:sz w:val="32"/>
          <w:szCs w:val="32"/>
          <w:lang w:val="en-US" w:eastAsia="zh-CN"/>
        </w:rPr>
        <w:t>3、</w:t>
      </w:r>
      <w:r>
        <w:rPr>
          <w:rStyle w:val="7"/>
          <w:rFonts w:hint="eastAsia" w:ascii="楷体_GB2312" w:hAnsi="楷体_GB2312" w:eastAsia="楷体_GB2312" w:cs="楷体_GB2312"/>
          <w:b/>
          <w:bCs/>
          <w:sz w:val="32"/>
          <w:szCs w:val="32"/>
        </w:rPr>
        <w:t>用地规划调整过于刚性，难以满足乡村振兴产业融合发展需求</w:t>
      </w:r>
    </w:p>
    <w:p>
      <w:pPr>
        <w:pStyle w:val="11"/>
        <w:keepNext w:val="0"/>
        <w:keepLines w:val="0"/>
        <w:pageBreakBefore w:val="0"/>
        <w:widowControl w:val="0"/>
        <w:kinsoku/>
        <w:wordWrap/>
        <w:overflowPunct/>
        <w:topLinePunct w:val="0"/>
        <w:autoSpaceDE/>
        <w:autoSpaceDN/>
        <w:bidi w:val="0"/>
        <w:adjustRightInd/>
        <w:snapToGrid/>
        <w:ind w:firstLine="640" w:firstLineChars="200"/>
        <w:textAlignment w:val="auto"/>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集体经营性建设用地来源多为集体企业原有厂房用地。随着乡村振兴产业融合发展要求不断提升，旧厂房已不能满足高质量项目需求。由于农村集体建设用地规划调整过于刚性、流程过于繁琐、时间过于漫长，导致项目用地改建的时间成本和政策风险都很高，使得项目方不敢投、不能建，这成为盘活利用集体经营性建设用地最大的瓶颈障碍。</w:t>
      </w:r>
    </w:p>
    <w:p>
      <w:pPr>
        <w:pStyle w:val="11"/>
        <w:rPr>
          <w:rStyle w:val="7"/>
          <w:rFonts w:ascii="Calibri" w:hAnsi="Calibri" w:eastAsia="宋体" w:cs="Times New Roman"/>
        </w:rPr>
      </w:pPr>
      <w:r>
        <w:rPr>
          <w:rStyle w:val="7"/>
          <w:rFonts w:ascii="宋体" w:hAnsi="宋体" w:eastAsia="宋体" w:cs="宋体"/>
          <w:b/>
          <w:color w:val="008000"/>
          <w:sz w:val="36"/>
        </w:rPr>
        <w:t>――――――――――――――――――――――</w:t>
      </w:r>
    </w:p>
    <w:p>
      <w:pPr>
        <w:pStyle w:val="11"/>
        <w:rPr>
          <w:rStyle w:val="7"/>
          <w:rFonts w:ascii="Calibri" w:hAnsi="Calibri" w:eastAsia="宋体" w:cs="Times New Roman"/>
        </w:rPr>
      </w:pPr>
      <w:r>
        <w:rPr>
          <w:rStyle w:val="7"/>
          <w:rFonts w:ascii="宋体" w:hAnsi="宋体" w:eastAsia="宋体" w:cs="宋体"/>
          <w:b/>
          <w:color w:val="008000"/>
          <w:sz w:val="36"/>
        </w:rPr>
        <w:t>※建议※</w:t>
      </w:r>
    </w:p>
    <w:p>
      <w:pPr>
        <w:pStyle w:val="11"/>
        <w:keepNext w:val="0"/>
        <w:keepLines w:val="0"/>
        <w:pageBreakBefore w:val="0"/>
        <w:widowControl w:val="0"/>
        <w:kinsoku/>
        <w:wordWrap/>
        <w:overflowPunct/>
        <w:topLinePunct w:val="0"/>
        <w:autoSpaceDE/>
        <w:autoSpaceDN/>
        <w:bidi w:val="0"/>
        <w:adjustRightInd/>
        <w:snapToGrid/>
        <w:ind w:firstLine="643" w:firstLineChars="200"/>
        <w:textAlignment w:val="auto"/>
        <w:rPr>
          <w:rStyle w:val="7"/>
          <w:rFonts w:hint="eastAsia" w:ascii="楷体_GB2312" w:hAnsi="楷体_GB2312" w:eastAsia="楷体_GB2312" w:cs="楷体_GB2312"/>
          <w:b/>
          <w:bCs/>
          <w:sz w:val="32"/>
          <w:szCs w:val="32"/>
        </w:rPr>
      </w:pPr>
      <w:r>
        <w:rPr>
          <w:rStyle w:val="7"/>
          <w:rFonts w:hint="eastAsia" w:ascii="楷体_GB2312" w:hAnsi="楷体_GB2312" w:eastAsia="楷体_GB2312" w:cs="楷体_GB2312"/>
          <w:b/>
          <w:bCs/>
          <w:sz w:val="32"/>
          <w:szCs w:val="32"/>
          <w:lang w:val="en-US" w:eastAsia="zh-CN"/>
        </w:rPr>
        <w:t>1、</w:t>
      </w:r>
      <w:r>
        <w:rPr>
          <w:rStyle w:val="7"/>
          <w:rFonts w:hint="eastAsia" w:ascii="楷体_GB2312" w:hAnsi="楷体_GB2312" w:eastAsia="楷体_GB2312" w:cs="楷体_GB2312"/>
          <w:b/>
          <w:bCs/>
          <w:sz w:val="32"/>
          <w:szCs w:val="32"/>
        </w:rPr>
        <w:t>深化集体经营性建设用地入市改革，探索更可持续的收益分配方式</w:t>
      </w:r>
    </w:p>
    <w:p>
      <w:pPr>
        <w:pStyle w:val="11"/>
        <w:keepNext w:val="0"/>
        <w:keepLines w:val="0"/>
        <w:pageBreakBefore w:val="0"/>
        <w:widowControl w:val="0"/>
        <w:kinsoku/>
        <w:wordWrap/>
        <w:overflowPunct/>
        <w:topLinePunct w:val="0"/>
        <w:autoSpaceDE/>
        <w:autoSpaceDN/>
        <w:bidi w:val="0"/>
        <w:adjustRightInd/>
        <w:snapToGrid/>
        <w:ind w:firstLine="640" w:firstLineChars="200"/>
        <w:textAlignment w:val="auto"/>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推进农村集体经营性建设用地入市改革，是国家对集体经营性建设用地放权赋能、实现与国有建设用地同权同价的顶层设计。涉及国家、集体、农民各方利益的重大调整，是彰显集体财产权益的重要举措。应优化探索更为合理的入市收益分配方式，统筹考虑村、镇两级集体经济组织利益，使入市工作更可持续。同时，兼顾基层政府收益，提高基层政府推进入市工作的积极性。</w:t>
      </w:r>
    </w:p>
    <w:p>
      <w:pPr>
        <w:pStyle w:val="11"/>
        <w:keepNext w:val="0"/>
        <w:keepLines w:val="0"/>
        <w:pageBreakBefore w:val="0"/>
        <w:widowControl w:val="0"/>
        <w:kinsoku/>
        <w:wordWrap/>
        <w:overflowPunct/>
        <w:topLinePunct w:val="0"/>
        <w:autoSpaceDE/>
        <w:autoSpaceDN/>
        <w:bidi w:val="0"/>
        <w:adjustRightInd/>
        <w:snapToGrid/>
        <w:ind w:firstLine="643" w:firstLineChars="200"/>
        <w:textAlignment w:val="auto"/>
        <w:rPr>
          <w:rStyle w:val="7"/>
          <w:rFonts w:hint="eastAsia" w:ascii="楷体_GB2312" w:hAnsi="楷体_GB2312" w:eastAsia="楷体_GB2312" w:cs="楷体_GB2312"/>
          <w:b/>
          <w:bCs/>
          <w:sz w:val="32"/>
          <w:szCs w:val="32"/>
        </w:rPr>
      </w:pPr>
      <w:r>
        <w:rPr>
          <w:rStyle w:val="7"/>
          <w:rFonts w:hint="eastAsia" w:ascii="楷体_GB2312" w:hAnsi="楷体_GB2312" w:eastAsia="楷体_GB2312" w:cs="楷体_GB2312"/>
          <w:b/>
          <w:bCs/>
          <w:sz w:val="32"/>
          <w:szCs w:val="32"/>
          <w:lang w:val="en-US" w:eastAsia="zh-CN"/>
        </w:rPr>
        <w:t>2、</w:t>
      </w:r>
      <w:r>
        <w:rPr>
          <w:rStyle w:val="7"/>
          <w:rFonts w:hint="eastAsia" w:ascii="楷体_GB2312" w:hAnsi="楷体_GB2312" w:eastAsia="楷体_GB2312" w:cs="楷体_GB2312"/>
          <w:b/>
          <w:bCs/>
          <w:sz w:val="32"/>
          <w:szCs w:val="32"/>
        </w:rPr>
        <w:t>探索集体经济组织经营风险分担机制，促进集体资产入股多方共赢</w:t>
      </w:r>
    </w:p>
    <w:p>
      <w:pPr>
        <w:pStyle w:val="11"/>
        <w:keepNext w:val="0"/>
        <w:keepLines w:val="0"/>
        <w:pageBreakBefore w:val="0"/>
        <w:widowControl w:val="0"/>
        <w:kinsoku/>
        <w:wordWrap/>
        <w:overflowPunct/>
        <w:topLinePunct w:val="0"/>
        <w:autoSpaceDE/>
        <w:autoSpaceDN/>
        <w:bidi w:val="0"/>
        <w:adjustRightInd/>
        <w:snapToGrid/>
        <w:ind w:firstLine="640" w:firstLineChars="200"/>
        <w:textAlignment w:val="auto"/>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集体经营性建设用地使用权作价入股，是集体经济分享项目成长收益的有效途径。相较于传统的使用权出让或收取租金收益，使用权作价入股可分享经济增长红利，更加彰显集体土地资产价值，同时也能帮助项目方降低投资需求和运营成本，是一种多方共赢的方式，也更符合乡村振兴中资源变资产、资产变股权、村民变股东的“三变”要求。应探索村、镇两级集体经济组织经营风险和收益分担机制，并体现强村带弱村实现共同富裕的发展导向。</w:t>
      </w:r>
    </w:p>
    <w:p>
      <w:pPr>
        <w:pStyle w:val="11"/>
        <w:keepNext w:val="0"/>
        <w:keepLines w:val="0"/>
        <w:pageBreakBefore w:val="0"/>
        <w:widowControl w:val="0"/>
        <w:kinsoku/>
        <w:wordWrap/>
        <w:overflowPunct/>
        <w:topLinePunct w:val="0"/>
        <w:autoSpaceDE/>
        <w:autoSpaceDN/>
        <w:bidi w:val="0"/>
        <w:adjustRightInd/>
        <w:snapToGrid/>
        <w:ind w:firstLine="643" w:firstLineChars="200"/>
        <w:textAlignment w:val="auto"/>
        <w:rPr>
          <w:rStyle w:val="7"/>
          <w:rFonts w:hint="eastAsia" w:ascii="楷体_GB2312" w:hAnsi="楷体_GB2312" w:eastAsia="楷体_GB2312" w:cs="楷体_GB2312"/>
          <w:b/>
          <w:bCs/>
          <w:sz w:val="32"/>
          <w:szCs w:val="32"/>
        </w:rPr>
      </w:pPr>
      <w:r>
        <w:rPr>
          <w:rStyle w:val="7"/>
          <w:rFonts w:hint="eastAsia" w:ascii="楷体_GB2312" w:hAnsi="楷体_GB2312" w:eastAsia="楷体_GB2312" w:cs="楷体_GB2312"/>
          <w:b/>
          <w:bCs/>
          <w:sz w:val="32"/>
          <w:szCs w:val="32"/>
          <w:lang w:val="en-US" w:eastAsia="zh-CN"/>
        </w:rPr>
        <w:t>3、</w:t>
      </w:r>
      <w:r>
        <w:rPr>
          <w:rStyle w:val="7"/>
          <w:rFonts w:hint="eastAsia" w:ascii="楷体_GB2312" w:hAnsi="楷体_GB2312" w:eastAsia="楷体_GB2312" w:cs="楷体_GB2312"/>
          <w:b/>
          <w:bCs/>
          <w:sz w:val="32"/>
          <w:szCs w:val="32"/>
        </w:rPr>
        <w:t>推进集体建设用地规划放权赋能，探索负面清单和三级管控制度</w:t>
      </w:r>
    </w:p>
    <w:p>
      <w:pPr>
        <w:pStyle w:val="11"/>
        <w:keepNext w:val="0"/>
        <w:keepLines w:val="0"/>
        <w:pageBreakBefore w:val="0"/>
        <w:widowControl w:val="0"/>
        <w:kinsoku/>
        <w:wordWrap/>
        <w:overflowPunct/>
        <w:topLinePunct w:val="0"/>
        <w:autoSpaceDE/>
        <w:autoSpaceDN/>
        <w:bidi w:val="0"/>
        <w:adjustRightInd/>
        <w:snapToGrid/>
        <w:ind w:firstLine="640" w:firstLineChars="200"/>
        <w:textAlignment w:val="auto"/>
        <w:rPr>
          <w:rStyle w:val="7"/>
          <w:rFonts w:hint="eastAsia" w:ascii="仿宋_GB2312" w:hAnsi="仿宋_GB2312" w:eastAsia="仿宋_GB2312" w:cs="仿宋_GB2312"/>
          <w:sz w:val="32"/>
          <w:szCs w:val="32"/>
          <w:lang w:eastAsia="zh-CN"/>
        </w:rPr>
      </w:pPr>
      <w:r>
        <w:rPr>
          <w:rStyle w:val="7"/>
          <w:rFonts w:hint="eastAsia" w:ascii="仿宋_GB2312" w:hAnsi="仿宋_GB2312" w:eastAsia="仿宋_GB2312" w:cs="仿宋_GB2312"/>
          <w:sz w:val="32"/>
          <w:szCs w:val="32"/>
        </w:rPr>
        <w:t>大力推进集体建设用地规划放权赋能，在坚守三条改革底线的基础上，实行负面清单制度，对于集体建设用地的规划调整，探索实行村级主导、镇级管理、规资部门审控的三级管控制度。在管住底线的同时，更多地向集体经济放权赋能，释放村集体干事创业的内生动力，有效盘活集体建设用地资源，促进村集体“造血”，营造更有活力的制度环境。</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ebdings">
    <w:panose1 w:val="05030102010509060703"/>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rFonts w:hint="eastAsia"/>
        <w:sz w:val="28"/>
        <w:szCs w:val="28"/>
      </w:rPr>
      <w:t>第</w:t>
    </w:r>
    <w:r>
      <w:rPr>
        <w:b/>
        <w:sz w:val="28"/>
        <w:szCs w:val="28"/>
      </w:rPr>
      <w:fldChar w:fldCharType="begin"/>
    </w:r>
    <w:r>
      <w:rPr>
        <w:b/>
        <w:sz w:val="28"/>
        <w:szCs w:val="28"/>
      </w:rPr>
      <w:instrText xml:space="preserve">PAGE</w:instrText>
    </w:r>
    <w:r>
      <w:rPr>
        <w:b/>
        <w:sz w:val="28"/>
        <w:szCs w:val="28"/>
      </w:rPr>
      <w:fldChar w:fldCharType="separate"/>
    </w:r>
    <w:r>
      <w:rPr>
        <w:b/>
        <w:sz w:val="28"/>
        <w:szCs w:val="28"/>
      </w:rPr>
      <w:t>1</w:t>
    </w:r>
    <w:r>
      <w:rPr>
        <w:b/>
        <w:sz w:val="28"/>
        <w:szCs w:val="28"/>
      </w:rPr>
      <w:fldChar w:fldCharType="end"/>
    </w:r>
    <w:r>
      <w:rPr>
        <w:rFonts w:hint="eastAsia"/>
        <w:b/>
        <w:sz w:val="28"/>
        <w:szCs w:val="28"/>
      </w:rPr>
      <w:t>页</w:t>
    </w:r>
    <w:r>
      <w:rPr>
        <w:sz w:val="28"/>
        <w:szCs w:val="28"/>
        <w:lang w:val="zh-CN"/>
      </w:rPr>
      <w:t xml:space="preserve"> / </w:t>
    </w:r>
    <w:r>
      <w:rPr>
        <w:rFonts w:hint="eastAsia"/>
        <w:sz w:val="28"/>
        <w:szCs w:val="28"/>
        <w:lang w:val="zh-CN"/>
      </w:rPr>
      <w:t>共</w:t>
    </w:r>
    <w:r>
      <w:rPr>
        <w:b/>
        <w:sz w:val="28"/>
        <w:szCs w:val="28"/>
      </w:rPr>
      <w:fldChar w:fldCharType="begin"/>
    </w:r>
    <w:r>
      <w:rPr>
        <w:b/>
        <w:sz w:val="28"/>
        <w:szCs w:val="28"/>
      </w:rPr>
      <w:instrText xml:space="preserve">NUMPAGES</w:instrText>
    </w:r>
    <w:r>
      <w:rPr>
        <w:b/>
        <w:sz w:val="28"/>
        <w:szCs w:val="28"/>
      </w:rPr>
      <w:fldChar w:fldCharType="separate"/>
    </w:r>
    <w:r>
      <w:rPr>
        <w:b/>
        <w:sz w:val="28"/>
        <w:szCs w:val="28"/>
      </w:rPr>
      <w:t>2</w:t>
    </w:r>
    <w:r>
      <w:rPr>
        <w:b/>
        <w:sz w:val="28"/>
        <w:szCs w:val="28"/>
      </w:rPr>
      <w:fldChar w:fldCharType="end"/>
    </w:r>
    <w:r>
      <w:rPr>
        <w:rFonts w:hint="eastAsia"/>
        <w:sz w:val="28"/>
        <w:szCs w:val="28"/>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rPr>
        <w:color w:val="008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iNmU3ODBhNjNmMzM1ZWY3YmI4MzliOTY3NGMxNzMifQ=="/>
  </w:docVars>
  <w:rsids>
    <w:rsidRoot w:val="00000000"/>
    <w:rsid w:val="3DC725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autoRedefine/>
    <w:semiHidden/>
    <w:qFormat/>
    <w:uiPriority w:val="0"/>
    <w:rPr>
      <w:sz w:val="18"/>
      <w:szCs w:val="18"/>
    </w:rPr>
  </w:style>
  <w:style w:type="paragraph" w:styleId="3">
    <w:name w:val="footer"/>
    <w:basedOn w:val="1"/>
    <w:link w:val="9"/>
    <w:autoRedefine/>
    <w:qFormat/>
    <w:uiPriority w:val="99"/>
    <w:pPr>
      <w:tabs>
        <w:tab w:val="center" w:pos="4153"/>
        <w:tab w:val="right" w:pos="8306"/>
      </w:tabs>
      <w:snapToGrid w:val="0"/>
      <w:jc w:val="left"/>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link w:val="4"/>
    <w:autoRedefine/>
    <w:qFormat/>
    <w:uiPriority w:val="0"/>
    <w:rPr>
      <w:kern w:val="2"/>
      <w:sz w:val="18"/>
      <w:szCs w:val="18"/>
    </w:rPr>
  </w:style>
  <w:style w:type="character" w:customStyle="1" w:styleId="9">
    <w:name w:val="页脚 Char"/>
    <w:link w:val="3"/>
    <w:uiPriority w:val="99"/>
    <w:rPr>
      <w:kern w:val="2"/>
      <w:sz w:val="18"/>
      <w:szCs w:val="18"/>
    </w:rPr>
  </w:style>
  <w:style w:type="paragraph" w:customStyle="1" w:styleId="10">
    <w:name w:val="Normal_0"/>
    <w:autoRedefine/>
    <w:qFormat/>
    <w:uiPriority w:val="0"/>
    <w:rPr>
      <w:rFonts w:ascii="Times New Roman" w:hAnsi="Times New Roman" w:eastAsia="Times New Roman" w:cs="Times New Roman"/>
      <w:lang w:val="ru-RU" w:eastAsia="en-US" w:bidi="ar-SA"/>
    </w:rPr>
  </w:style>
  <w:style w:type="paragraph" w:customStyle="1" w:styleId="11">
    <w:name w:val="Normal_1"/>
    <w:qFormat/>
    <w:uiPriority w:val="0"/>
    <w:pPr>
      <w:widowControl w:val="0"/>
      <w:jc w:val="both"/>
    </w:pPr>
    <w:rPr>
      <w:rFonts w:ascii="Calibri"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0C535-EE8D-4C9F-BBD9-519E25D7DD99}">
  <ds:schemaRefs/>
</ds:datastoreItem>
</file>

<file path=docProps/app.xml><?xml version="1.0" encoding="utf-8"?>
<Properties xmlns="http://schemas.openxmlformats.org/officeDocument/2006/extended-properties" xmlns:vt="http://schemas.openxmlformats.org/officeDocument/2006/docPropsVTypes">
  <Template>Normal.dotm</Template>
  <Company>SHZX</Company>
  <Pages>2</Pages>
  <Words>60</Words>
  <Characters>343</Characters>
  <Lines>2</Lines>
  <Paragraphs>1</Paragraphs>
  <TotalTime>10</TotalTime>
  <ScaleCrop>false</ScaleCrop>
  <LinksUpToDate>false</LinksUpToDate>
  <CharactersWithSpaces>402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2023-12-26T01:06:00Z</dcterms:created>
  <dc:creator>张丁</dc:creator>
  <cp:lastModifiedBy>严茂森</cp:lastModifiedBy>
  <cp:lastPrinted>2013-01-09T04:21:00Z</cp:lastPrinted>
  <dcterms:modified xsi:type="dcterms:W3CDTF">2024-04-07T08:12:52Z</dcterms:modified>
  <dc:title>中国人民政治协商会议上海市第十届委员会</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33144649F2C74662A67ECA5D56FE2CD3_12</vt:lpwstr>
  </property>
</Properties>
</file>