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1080" w:firstLineChars="300"/>
        <w:jc w:val="both"/>
        <w:rPr>
          <w:rFonts w:hint="eastAsia" w:ascii="华文中宋" w:hAnsi="华文中宋" w:eastAsia="华文中宋" w:cs="方正小标宋简体"/>
          <w:sz w:val="36"/>
          <w:szCs w:val="36"/>
        </w:rPr>
      </w:pPr>
    </w:p>
    <w:p>
      <w:pPr>
        <w:spacing w:line="640" w:lineRule="exact"/>
        <w:ind w:firstLine="1080" w:firstLineChars="300"/>
        <w:jc w:val="both"/>
        <w:rPr>
          <w:rFonts w:hint="eastAsia" w:ascii="华文中宋" w:hAnsi="华文中宋" w:eastAsia="华文中宋" w:cs="方正小标宋简体"/>
          <w:sz w:val="36"/>
          <w:szCs w:val="36"/>
        </w:rPr>
      </w:pPr>
      <w:r>
        <w:rPr>
          <w:rFonts w:hint="eastAsia" w:ascii="华文中宋" w:hAnsi="华文中宋" w:eastAsia="华文中宋" w:cs="方正小标宋简体"/>
          <w:sz w:val="36"/>
          <w:szCs w:val="36"/>
        </w:rPr>
        <w:t>关于</w:t>
      </w:r>
      <w:r>
        <w:rPr>
          <w:rFonts w:hint="eastAsia" w:ascii="华文中宋" w:hAnsi="华文中宋" w:eastAsia="华文中宋" w:cs="方正小标宋简体"/>
          <w:sz w:val="36"/>
          <w:szCs w:val="36"/>
          <w:lang w:eastAsia="zh-CN"/>
        </w:rPr>
        <w:t>我市各类渔业水域禁用渔具</w:t>
      </w:r>
      <w:r>
        <w:rPr>
          <w:rFonts w:hint="eastAsia" w:ascii="华文中宋" w:hAnsi="华文中宋" w:eastAsia="华文中宋" w:cs="方正小标宋简体"/>
          <w:sz w:val="36"/>
          <w:szCs w:val="36"/>
        </w:rPr>
        <w:t>的通告</w:t>
      </w:r>
    </w:p>
    <w:p>
      <w:pPr>
        <w:spacing w:line="640" w:lineRule="exact"/>
        <w:ind w:firstLine="1080" w:firstLineChars="300"/>
        <w:jc w:val="both"/>
        <w:rPr>
          <w:rFonts w:hint="eastAsia" w:ascii="华文中宋" w:hAnsi="华文中宋" w:eastAsia="华文中宋" w:cs="方正小标宋简体"/>
          <w:sz w:val="36"/>
          <w:szCs w:val="36"/>
        </w:rPr>
      </w:pPr>
      <w:r>
        <w:rPr>
          <w:rFonts w:hint="eastAsia" w:ascii="华文中宋" w:hAnsi="华文中宋" w:eastAsia="华文中宋" w:cs="方正小标宋简体"/>
          <w:sz w:val="36"/>
          <w:szCs w:val="36"/>
          <w:lang w:val="en-US" w:eastAsia="zh-CN"/>
        </w:rPr>
        <w:t xml:space="preserve">          （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征求意见稿</w:t>
      </w:r>
      <w:r>
        <w:rPr>
          <w:rFonts w:hint="eastAsia" w:ascii="华文中宋" w:hAnsi="华文中宋" w:eastAsia="华文中宋" w:cs="方正小标宋简体"/>
          <w:sz w:val="36"/>
          <w:szCs w:val="36"/>
          <w:lang w:val="en-US" w:eastAsia="zh-CN"/>
        </w:rPr>
        <w:t>）</w:t>
      </w:r>
    </w:p>
    <w:p>
      <w:pPr>
        <w:spacing w:line="580" w:lineRule="exact"/>
        <w:ind w:firstLine="640" w:firstLineChars="200"/>
        <w:jc w:val="both"/>
        <w:rPr>
          <w:rFonts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  <w:lang w:eastAsia="zh-CN"/>
        </w:rPr>
        <w:t>为加强捕捞渔具管理，进一步加大我市海洋、长江、黄浦江及其他内陆水域违规渔具整治力度，保护我市各类水域渔业资源，</w:t>
      </w:r>
      <w:r>
        <w:rPr>
          <w:rFonts w:eastAsia="仿宋_GB2312"/>
          <w:sz w:val="32"/>
          <w:szCs w:val="24"/>
        </w:rPr>
        <w:t>根据</w:t>
      </w:r>
      <w:r>
        <w:rPr>
          <w:rFonts w:hint="eastAsia" w:eastAsia="仿宋_GB2312"/>
          <w:sz w:val="32"/>
          <w:szCs w:val="24"/>
          <w:lang w:eastAsia="zh-CN"/>
        </w:rPr>
        <w:t>《中华人民共和国渔业法》、《中国水生生物资源养护行动纲要》</w:t>
      </w:r>
      <w:r>
        <w:rPr>
          <w:rFonts w:hint="default" w:eastAsia="仿宋_GB2312"/>
          <w:sz w:val="32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设立长江口禁捕管理区的通告》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（农业农村部通告〔20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eastAsia="仿宋_GB2312"/>
          <w:sz w:val="32"/>
          <w:szCs w:val="24"/>
        </w:rPr>
        <w:t>等有关规定，现</w:t>
      </w:r>
      <w:r>
        <w:rPr>
          <w:rFonts w:hint="eastAsia" w:eastAsia="仿宋_GB2312"/>
          <w:sz w:val="32"/>
          <w:szCs w:val="24"/>
          <w:lang w:eastAsia="zh-CN"/>
        </w:rPr>
        <w:t>就</w:t>
      </w:r>
      <w:r>
        <w:rPr>
          <w:rFonts w:hint="default" w:eastAsia="仿宋_GB2312"/>
          <w:sz w:val="32"/>
          <w:szCs w:val="24"/>
          <w:lang w:eastAsia="zh-CN"/>
        </w:rPr>
        <w:t>我市</w:t>
      </w:r>
      <w:r>
        <w:rPr>
          <w:rFonts w:hint="eastAsia" w:eastAsia="仿宋_GB2312"/>
          <w:sz w:val="32"/>
          <w:szCs w:val="24"/>
          <w:lang w:eastAsia="zh-CN"/>
        </w:rPr>
        <w:t>各类渔业水域禁用渔具</w:t>
      </w:r>
      <w:r>
        <w:rPr>
          <w:rFonts w:eastAsia="仿宋_GB2312"/>
          <w:sz w:val="32"/>
          <w:szCs w:val="24"/>
        </w:rPr>
        <w:t>通告如下。</w:t>
      </w:r>
    </w:p>
    <w:p>
      <w:pPr>
        <w:numPr>
          <w:ilvl w:val="0"/>
          <w:numId w:val="1"/>
        </w:numPr>
        <w:spacing w:line="580" w:lineRule="exact"/>
        <w:ind w:firstLine="643" w:firstLineChars="200"/>
        <w:jc w:val="both"/>
        <w:rPr>
          <w:rFonts w:hint="eastAsia" w:eastAsia="仿宋_GB2312"/>
          <w:b/>
          <w:bCs/>
          <w:sz w:val="32"/>
          <w:szCs w:val="24"/>
          <w:lang w:eastAsia="zh-CN"/>
        </w:rPr>
      </w:pPr>
      <w:r>
        <w:rPr>
          <w:rFonts w:hint="eastAsia" w:eastAsia="仿宋_GB2312"/>
          <w:b/>
          <w:bCs/>
          <w:sz w:val="32"/>
          <w:szCs w:val="24"/>
          <w:lang w:eastAsia="zh-CN"/>
        </w:rPr>
        <w:t>海洋水域</w:t>
      </w:r>
    </w:p>
    <w:p>
      <w:pPr>
        <w:numPr>
          <w:ilvl w:val="0"/>
          <w:numId w:val="0"/>
        </w:numPr>
        <w:spacing w:line="580" w:lineRule="exact"/>
        <w:jc w:val="both"/>
        <w:rPr>
          <w:rFonts w:hint="default" w:eastAsia="仿宋_GB2312"/>
          <w:sz w:val="32"/>
          <w:szCs w:val="24"/>
          <w:lang w:val="en-US" w:eastAsia="zh-CN"/>
        </w:rPr>
      </w:pPr>
      <w:r>
        <w:rPr>
          <w:rFonts w:hint="eastAsia" w:eastAsia="仿宋_GB2312"/>
          <w:sz w:val="32"/>
          <w:szCs w:val="24"/>
          <w:lang w:val="en-US" w:eastAsia="zh-CN"/>
        </w:rPr>
        <w:t xml:space="preserve">    1、适用范围：我市管辖的海洋A、C类渔区。</w:t>
      </w:r>
    </w:p>
    <w:p>
      <w:pPr>
        <w:spacing w:line="580" w:lineRule="exact"/>
        <w:ind w:firstLine="640" w:firstLineChars="200"/>
        <w:jc w:val="both"/>
        <w:rPr>
          <w:rFonts w:hint="eastAsia" w:eastAsia="仿宋_GB2312"/>
          <w:sz w:val="32"/>
          <w:szCs w:val="24"/>
          <w:lang w:val="en-US" w:eastAsia="zh-CN"/>
        </w:rPr>
      </w:pPr>
      <w:r>
        <w:rPr>
          <w:rFonts w:hint="eastAsia" w:eastAsia="仿宋_GB2312"/>
          <w:sz w:val="32"/>
          <w:szCs w:val="24"/>
          <w:lang w:val="en-US" w:eastAsia="zh-CN"/>
        </w:rPr>
        <w:t>2、禁用渔具：除《中华人民共和国渔业法》及农业农村部关于海洋禁用渔具的相关规定以外，禁止使用双层刺网、三层刺网、底扒网、地笼网以及其他破坏渔业资源的渔具。</w:t>
      </w:r>
    </w:p>
    <w:p>
      <w:pPr>
        <w:numPr>
          <w:ilvl w:val="0"/>
          <w:numId w:val="2"/>
        </w:numPr>
        <w:spacing w:line="580" w:lineRule="exact"/>
        <w:ind w:firstLine="643" w:firstLineChars="200"/>
        <w:jc w:val="both"/>
        <w:rPr>
          <w:rFonts w:hint="eastAsia" w:eastAsia="仿宋_GB2312"/>
          <w:b/>
          <w:bCs/>
          <w:sz w:val="32"/>
          <w:szCs w:val="24"/>
          <w:lang w:val="en-US" w:eastAsia="zh-CN"/>
        </w:rPr>
      </w:pPr>
      <w:r>
        <w:rPr>
          <w:rFonts w:hint="eastAsia" w:eastAsia="仿宋_GB2312"/>
          <w:b/>
          <w:bCs/>
          <w:sz w:val="32"/>
          <w:szCs w:val="24"/>
          <w:lang w:val="en-US" w:eastAsia="zh-CN"/>
        </w:rPr>
        <w:t>长江水域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eastAsia="仿宋_GB2312"/>
          <w:sz w:val="32"/>
          <w:szCs w:val="24"/>
          <w:lang w:val="en-US" w:eastAsia="zh-CN"/>
        </w:rPr>
      </w:pPr>
      <w:r>
        <w:rPr>
          <w:rFonts w:hint="eastAsia" w:eastAsia="仿宋_GB2312"/>
          <w:sz w:val="32"/>
          <w:szCs w:val="24"/>
          <w:lang w:val="en-US" w:eastAsia="zh-CN"/>
        </w:rPr>
        <w:t>1、适用范围：农业农村部设立的“长江口禁捕管理区”范围内的我市管辖水域。</w:t>
      </w:r>
    </w:p>
    <w:p>
      <w:pPr>
        <w:spacing w:line="580" w:lineRule="exact"/>
        <w:ind w:firstLine="640" w:firstLineChars="200"/>
        <w:jc w:val="both"/>
        <w:rPr>
          <w:rFonts w:hint="eastAsia" w:eastAsia="仿宋_GB2312"/>
          <w:sz w:val="32"/>
          <w:szCs w:val="24"/>
          <w:lang w:val="en-US" w:eastAsia="zh-CN"/>
        </w:rPr>
      </w:pPr>
      <w:r>
        <w:rPr>
          <w:rFonts w:hint="eastAsia" w:eastAsia="仿宋_GB2312"/>
          <w:sz w:val="32"/>
          <w:szCs w:val="24"/>
          <w:lang w:val="en-US" w:eastAsia="zh-CN"/>
        </w:rPr>
        <w:t>2、禁用渔具：按照《中华人民共和国渔业法》及农业农村部关于长江水域禁用渔具的相关规定执行。</w:t>
      </w:r>
    </w:p>
    <w:p>
      <w:pPr>
        <w:numPr>
          <w:ilvl w:val="0"/>
          <w:numId w:val="2"/>
        </w:numPr>
        <w:spacing w:line="580" w:lineRule="exact"/>
        <w:ind w:firstLine="643" w:firstLineChars="200"/>
        <w:jc w:val="both"/>
        <w:rPr>
          <w:rFonts w:hint="eastAsia" w:eastAsia="仿宋_GB2312"/>
          <w:b/>
          <w:bCs/>
          <w:sz w:val="32"/>
          <w:szCs w:val="24"/>
          <w:lang w:val="en-US" w:eastAsia="zh-CN"/>
        </w:rPr>
      </w:pPr>
      <w:r>
        <w:rPr>
          <w:rFonts w:hint="eastAsia" w:eastAsia="仿宋_GB2312"/>
          <w:b/>
          <w:bCs/>
          <w:sz w:val="32"/>
          <w:szCs w:val="24"/>
          <w:lang w:val="en-US" w:eastAsia="zh-CN"/>
        </w:rPr>
        <w:t>黄浦江及其他内陆水域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left"/>
        <w:rPr>
          <w:rFonts w:hint="eastAsia" w:eastAsia="仿宋_GB2312" w:cs="Times New Roman"/>
          <w:sz w:val="32"/>
          <w:szCs w:val="24"/>
          <w:lang w:val="en-US" w:eastAsia="zh-CN"/>
        </w:rPr>
      </w:pPr>
      <w:r>
        <w:rPr>
          <w:rFonts w:hint="eastAsia" w:eastAsia="仿宋_GB2312"/>
          <w:sz w:val="32"/>
          <w:szCs w:val="24"/>
          <w:lang w:val="en-US" w:eastAsia="zh-CN"/>
        </w:rPr>
        <w:t>1、适用范围：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>黄浦江范围内渔业水域，以及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我市辖区内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>除海洋、长江口、黄浦江水域以外的开放性、自然性渔业水域，包括湖泊及河流（河道）。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eastAsia="仿宋_GB2312" w:cs="Times New Roman"/>
          <w:sz w:val="32"/>
          <w:szCs w:val="24"/>
          <w:lang w:val="en-US" w:eastAsia="zh-CN"/>
        </w:rPr>
      </w:pPr>
      <w:r>
        <w:rPr>
          <w:rFonts w:hint="eastAsia" w:eastAsia="仿宋_GB2312"/>
          <w:sz w:val="32"/>
          <w:szCs w:val="24"/>
          <w:lang w:val="en-US" w:eastAsia="zh-CN"/>
        </w:rPr>
        <w:t>2、禁用渔具：除《中华人民共和国渔业法》等相关规定以外，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>禁止使用插网、网簖、地笼网、机吸耙刺、机拖耙刺等破坏渔业资源的渔具。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7A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L Lab's KK Phonetic Symbol">
    <w:altName w:val="Symbol"/>
    <w:panose1 w:val="020B05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文星简小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；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함초롬바탕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견명조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HYSinMyeongJo-Medium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金桥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9755"/>
    <w:multiLevelType w:val="singleLevel"/>
    <w:tmpl w:val="603C9755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603CA5BD"/>
    <w:multiLevelType w:val="singleLevel"/>
    <w:tmpl w:val="603CA5B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14FC4"/>
    <w:rsid w:val="514702FD"/>
    <w:rsid w:val="6B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OA</dc:creator>
  <cp:lastModifiedBy>黄凯元</cp:lastModifiedBy>
  <dcterms:modified xsi:type="dcterms:W3CDTF">2012-12-31T21:04:37Z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