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11177">
      <w:pPr>
        <w:tabs>
          <w:tab w:val="right" w:pos="8364"/>
        </w:tabs>
        <w:adjustRightInd w:val="0"/>
        <w:snapToGrid w:val="0"/>
        <w:spacing w:before="65" w:beforeLines="20"/>
        <w:rPr>
          <w:color w:val="FF0000"/>
        </w:rPr>
      </w:pPr>
      <w:r>
        <w:rPr>
          <w:rFonts w:hint="eastAsia"/>
          <w:color w:val="FF0000"/>
        </w:rPr>
        <w:t>提案内容：</w:t>
      </w:r>
    </w:p>
    <w:p w14:paraId="0396067D">
      <w:pPr>
        <w:spacing w:before="65"/>
        <w:jc w:val="center"/>
        <w:rPr>
          <w:rFonts w:ascii="黑体" w:hAnsi="黑体" w:eastAsia="黑体"/>
          <w:b/>
          <w:sz w:val="44"/>
          <w:szCs w:val="44"/>
        </w:rPr>
      </w:pPr>
      <w:bookmarkStart w:id="0" w:name="casetitle2"/>
      <w:r>
        <w:rPr>
          <w:rFonts w:ascii="黑体" w:hAnsi="黑体" w:eastAsia="黑体"/>
          <w:b/>
          <w:sz w:val="44"/>
          <w:szCs w:val="44"/>
        </w:rPr>
        <w:t>关于开展“千万工程”建设推进上海城乡融合发展、实施乡村全</w:t>
      </w:r>
      <w:bookmarkStart w:id="1" w:name="_GoBack"/>
      <w:bookmarkEnd w:id="1"/>
      <w:r>
        <w:rPr>
          <w:rFonts w:ascii="黑体" w:hAnsi="黑体" w:eastAsia="黑体"/>
          <w:b/>
          <w:sz w:val="44"/>
          <w:szCs w:val="44"/>
        </w:rPr>
        <w:t>面振兴的提案</w:t>
      </w:r>
      <w:bookmarkEnd w:id="0"/>
    </w:p>
    <w:p w14:paraId="56CECF4A">
      <w:pPr>
        <w:spacing w:before="65"/>
        <w:jc w:val="center"/>
        <w:rPr>
          <w:rFonts w:ascii="黑体" w:hAnsi="黑体" w:eastAsia="黑体"/>
          <w:b/>
          <w:sz w:val="44"/>
          <w:szCs w:val="44"/>
        </w:rPr>
      </w:pPr>
    </w:p>
    <w:p w14:paraId="55CCFDB4">
      <w:pPr>
        <w:spacing w:before="65"/>
        <w:rPr>
          <w:rFonts w:ascii="黑体" w:hAnsi="黑体" w:eastAsia="黑体"/>
          <w:b/>
          <w:sz w:val="44"/>
          <w:szCs w:val="44"/>
        </w:rPr>
      </w:pPr>
    </w:p>
    <w:p w14:paraId="22F96472">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※背景情况※</w:t>
      </w:r>
    </w:p>
    <w:p w14:paraId="652A61C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党的二十大报告指出，“全面建设中国式现代化国家，最艰巨最繁重的任务仍然在农村”。今年7月，党的二十届三中全会通过的《中共中央关于进一步全面深化改革、推进中国式现代化的决定》再次指出城乡融合发展的方向和路径，提出要素平等交换、双向流动、缩小城乡差别，促进城乡共同发展等原则。</w:t>
      </w:r>
    </w:p>
    <w:p w14:paraId="3BEAC98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农村占上海全域面积达到80%，每年为全市供应10万吨大米、20万吨蔬菜，是上海重要的米袋子、菜篮子。社会主义现代化国际大都市的郊区应该是什么样？习近平总书记谋划推动的浙江“千村示范、万村整治”（以下简称“千万工程”）为我们提供了极好的借鉴。现今，以浙江为代表的乡村全面振兴画面已生动展现在全世界的面前，也为上海城乡融合、美丽绿色上海发展提供了示范样本。</w:t>
      </w:r>
    </w:p>
    <w:p w14:paraId="06A8C62D">
      <w:pPr>
        <w:pStyle w:val="16"/>
        <w:rPr>
          <w:rStyle w:val="7"/>
          <w:rFonts w:ascii="Calibri" w:hAnsi="Calibri" w:eastAsia="宋体" w:cs="Times New Roman"/>
        </w:rPr>
      </w:pPr>
      <w:r>
        <w:rPr>
          <w:rStyle w:val="7"/>
          <w:rFonts w:ascii="宋体" w:hAnsi="宋体" w:eastAsia="宋体" w:cs="宋体"/>
          <w:b/>
          <w:color w:val="FF0000"/>
          <w:sz w:val="36"/>
        </w:rPr>
        <w:t>――――――――――――――――――――――</w:t>
      </w:r>
    </w:p>
    <w:p w14:paraId="17417202">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※问题及分析※</w:t>
      </w:r>
    </w:p>
    <w:p w14:paraId="31C6081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1</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农村居住环境面貌总体落后。</w:t>
      </w:r>
      <w:r>
        <w:rPr>
          <w:rStyle w:val="7"/>
          <w:rFonts w:hint="eastAsia" w:ascii="仿宋_GB2312" w:hAnsi="仿宋_GB2312" w:eastAsia="仿宋_GB2312" w:cs="仿宋_GB2312"/>
          <w:sz w:val="32"/>
          <w:szCs w:val="32"/>
        </w:rPr>
        <w:t>农村面貌依旧破旧，燃气、网络基础设施严重落后，宅基地停止审批、老房子不准翻建；集中居住点和规划村建设不科学、不经济，大拆大建现象仍有存在；以农户宅基地平移为切入点的新农村建设，集中居住多为风格单一的联排小楼，缺失特有的“农村”风貌，难以吸引民宿产业入驻。</w:t>
      </w:r>
    </w:p>
    <w:p w14:paraId="02646514">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2</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村（组）级集体经济组织弱化。</w:t>
      </w:r>
      <w:r>
        <w:rPr>
          <w:rStyle w:val="7"/>
          <w:rFonts w:hint="eastAsia" w:ascii="仿宋_GB2312" w:hAnsi="仿宋_GB2312" w:eastAsia="仿宋_GB2312" w:cs="仿宋_GB2312"/>
          <w:sz w:val="32"/>
          <w:szCs w:val="32"/>
        </w:rPr>
        <w:t>刚刚通过的国家农村集体经济组织法明确了农村集体经济组织的主体责任，然而，现有的上海农村村级集体经济组织对主动发展本级经济的职能弱化或缺失，发展动力和活力严重不足，村庄治理效能没有释放，城乡融合发展裹足不前。</w:t>
      </w:r>
    </w:p>
    <w:p w14:paraId="0FBD5448">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rPr>
        <w:t>3</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农村产业始终面临发展窘境。</w:t>
      </w:r>
      <w:r>
        <w:rPr>
          <w:rStyle w:val="7"/>
          <w:rFonts w:hint="eastAsia" w:ascii="仿宋_GB2312" w:hAnsi="仿宋_GB2312" w:eastAsia="仿宋_GB2312" w:cs="仿宋_GB2312"/>
          <w:sz w:val="32"/>
          <w:szCs w:val="32"/>
        </w:rPr>
        <w:t>农村产业大多高投入低产出，且发展缺乏可持续性，基础投资规模庞大、期限长、直接收益低；受“耕地红线、永农指标、建设用地指标”等用地政策限制，具有大都市郊区特色的“农业+”产业（如民宿、养老、农旅、体验、沉浸式等），较难实施，郊区农业转型发展艰难。</w:t>
      </w:r>
    </w:p>
    <w:p w14:paraId="3F9846A2">
      <w:pPr>
        <w:pStyle w:val="16"/>
        <w:rPr>
          <w:rStyle w:val="7"/>
          <w:rFonts w:ascii="Calibri" w:hAnsi="Calibri" w:eastAsia="宋体" w:cs="Times New Roman"/>
        </w:rPr>
      </w:pPr>
      <w:r>
        <w:rPr>
          <w:rStyle w:val="7"/>
          <w:rFonts w:ascii="宋体" w:hAnsi="宋体" w:eastAsia="宋体" w:cs="宋体"/>
          <w:b/>
          <w:color w:val="FF0000"/>
          <w:sz w:val="36"/>
        </w:rPr>
        <w:t>――――――――――――――――――――――</w:t>
      </w:r>
    </w:p>
    <w:p w14:paraId="19FA1E09">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※建议※</w:t>
      </w:r>
    </w:p>
    <w:p w14:paraId="4FDB0A6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上海要加快深化改革创新，推动农业和现代服务业深度融合，促进集体经济组织发展壮大，带动农民就业增收，探索现代化大都市城乡融合发展新路子。为此推出以下建议：</w:t>
      </w:r>
    </w:p>
    <w:p w14:paraId="189FC6F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1</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充分借鉴“千万工程”的系统发展经验。</w:t>
      </w:r>
      <w:r>
        <w:rPr>
          <w:rStyle w:val="7"/>
          <w:rFonts w:hint="eastAsia" w:ascii="仿宋_GB2312" w:hAnsi="仿宋_GB2312" w:eastAsia="仿宋_GB2312" w:cs="仿宋_GB2312"/>
          <w:sz w:val="32"/>
          <w:szCs w:val="32"/>
        </w:rPr>
        <w:t>以一体化的思路和举措打破行政壁垒、提高政策协同效率；把改善村容村貌与发展生产结合起来，激活乡村生态资源，由单纯的乡村建设转为开发利用乡村特色资源，让乡村有多元价值与稀缺资源得到充分利用，让乡村美丽经济生态优势转化为农户民生福利。</w:t>
      </w:r>
    </w:p>
    <w:p w14:paraId="1E56332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2</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全面放开并鼓励各类型农户修缮自有宅基地房屋。</w:t>
      </w:r>
      <w:r>
        <w:rPr>
          <w:rStyle w:val="7"/>
          <w:rFonts w:hint="eastAsia" w:ascii="仿宋_GB2312" w:hAnsi="仿宋_GB2312" w:eastAsia="仿宋_GB2312" w:cs="仿宋_GB2312"/>
          <w:sz w:val="32"/>
          <w:szCs w:val="32"/>
        </w:rPr>
        <w:t>深刻认识农民的主体作用，摈弃只能是有农村户籍才是农民的惯性思维，把只要能享受农村经济组织分红的成员也纳入广义的“农民”。在乡村整治中，注重保护历史建筑、举办民俗文化活动等，增加农村的文化魅力和特色。</w:t>
      </w:r>
    </w:p>
    <w:p w14:paraId="3991280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3</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尽快调整并科学规划“相对集中居住点”来替代庄村。</w:t>
      </w:r>
      <w:r>
        <w:rPr>
          <w:rStyle w:val="7"/>
          <w:rFonts w:hint="eastAsia" w:ascii="仿宋_GB2312" w:hAnsi="仿宋_GB2312" w:eastAsia="仿宋_GB2312" w:cs="仿宋_GB2312"/>
          <w:sz w:val="32"/>
          <w:szCs w:val="32"/>
        </w:rPr>
        <w:t>各区牵头，各镇自主规划和设计村庄布局，在节约资源相对集中居住的原则下，充分考虑镇属各村的地理风貌、资源分布，进行农村集中居住，确保农村人居整治环境的科学性与可持续性。</w:t>
      </w:r>
    </w:p>
    <w:p w14:paraId="4933B604">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4</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突出“乡村振兴”在整个城市经济中的战略性作用。</w:t>
      </w:r>
      <w:r>
        <w:rPr>
          <w:rStyle w:val="7"/>
          <w:rFonts w:hint="eastAsia" w:ascii="仿宋_GB2312" w:hAnsi="仿宋_GB2312" w:eastAsia="仿宋_GB2312" w:cs="仿宋_GB2312"/>
          <w:sz w:val="32"/>
          <w:szCs w:val="32"/>
        </w:rPr>
        <w:t>因地制宜把本地特有的文化、农业产品打造成为品牌，通过设施农业、加工农业、观光休闲农业让农业的绿色、环保、体验、休闲作用更加凸显，让农业与生活融为一体，让农业生产成为人们生活的乐趣，农村成为净化心灵的场所，绿色成为城市人生活的时尚。</w:t>
      </w:r>
    </w:p>
    <w:p w14:paraId="487E731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5</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建立城市财政资源反哺“三农”的机制。</w:t>
      </w:r>
      <w:r>
        <w:rPr>
          <w:rStyle w:val="7"/>
          <w:rFonts w:hint="eastAsia" w:ascii="仿宋_GB2312" w:hAnsi="仿宋_GB2312" w:eastAsia="仿宋_GB2312" w:cs="仿宋_GB2312"/>
          <w:sz w:val="32"/>
          <w:szCs w:val="32"/>
        </w:rPr>
        <w:t>各级财政部门要加大对“千万工程”涉及的道路、公交、供水、供电、供网（5G）、供汽等基础设施建设、人居环境整治的投入力度，使财政资金真正反哺“三农”，精准实施“工业反哺农业”、“城市反哺农村”、“全社会反哺农民”的城市财政机制，改变城乡之间基础设施差别。</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B5BB">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8460">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2FEFB1E"/>
    <w:rsid w:val="5CD10D7E"/>
    <w:rsid w:val="5DF71F3E"/>
    <w:rsid w:val="7DF72D99"/>
    <w:rsid w:val="7EDC7D1C"/>
    <w:rsid w:val="BFEE9D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1836</Words>
  <Characters>1920</Characters>
  <Lines>3</Lines>
  <Paragraphs>1</Paragraphs>
  <TotalTime>60</TotalTime>
  <ScaleCrop>false</ScaleCrop>
  <LinksUpToDate>false</LinksUpToDate>
  <CharactersWithSpaces>2009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2021-04-02T13:38:00Z</dcterms:created>
  <dc:creator>2</dc:creator>
  <cp:lastModifiedBy>yms</cp:lastModifiedBy>
  <cp:lastPrinted>2023-12-27T09:02:00Z</cp:lastPrinted>
  <dcterms:modified xsi:type="dcterms:W3CDTF">2025-05-22T03:01:25Z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2052-12.1.0.20784</vt:lpwstr>
  </property>
  <property fmtid="{D5CDD505-2E9C-101B-9397-08002B2CF9AE}" pid="4" name="KSOTemplateDocerSaveRecord">
    <vt:lpwstr>eyJoZGlkIjoiYzNiNmU3ODBhNjNmMzM1ZWY3YmI4MzliOTY3NGMxNzMiLCJ1c2VySWQiOiIxNjkwMzU1OTI0In0=</vt:lpwstr>
  </property>
</Properties>
</file>