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eastAsia="华文中宋" w:cs="Times New Roman"/>
          <w:b/>
          <w:bCs/>
          <w:color w:val="000000"/>
          <w:sz w:val="36"/>
          <w:szCs w:val="36"/>
        </w:rPr>
      </w:pPr>
      <w:bookmarkStart w:id="0" w:name="_Toc23812"/>
    </w:p>
    <w:p>
      <w:pPr>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eastAsia" w:ascii="方正小标宋_GBK" w:hAnsi="方正小标宋_GBK" w:eastAsia="方正小标宋_GBK" w:cs="方正小标宋_GBK"/>
          <w:b/>
          <w:bCs/>
          <w:color w:val="000000"/>
          <w:sz w:val="36"/>
          <w:szCs w:val="36"/>
          <w:lang w:val="en-US" w:eastAsia="zh-CN"/>
        </w:rPr>
      </w:pPr>
      <w:r>
        <w:rPr>
          <w:rFonts w:hint="eastAsia" w:ascii="方正小标宋简体" w:hAnsi="方正小标宋简体" w:eastAsia="方正小标宋简体" w:cs="方正小标宋简体"/>
          <w:b w:val="0"/>
          <w:bCs w:val="0"/>
          <w:color w:val="000000"/>
          <w:sz w:val="36"/>
          <w:szCs w:val="36"/>
        </w:rPr>
        <w:t>上海域外农场现代农业专项规划</w:t>
      </w:r>
      <w:r>
        <w:rPr>
          <w:rFonts w:hint="eastAsia" w:ascii="方正小标宋简体" w:hAnsi="方正小标宋简体" w:eastAsia="方正小标宋简体" w:cs="方正小标宋简体"/>
          <w:b w:val="0"/>
          <w:bCs w:val="0"/>
          <w:color w:val="000000"/>
          <w:sz w:val="36"/>
          <w:szCs w:val="36"/>
          <w:lang w:eastAsia="zh-CN"/>
        </w:rPr>
        <w:t>（</w:t>
      </w:r>
      <w:r>
        <w:rPr>
          <w:rFonts w:hint="eastAsia" w:ascii="方正小标宋简体" w:hAnsi="方正小标宋简体" w:eastAsia="方正小标宋简体" w:cs="方正小标宋简体"/>
          <w:b w:val="0"/>
          <w:bCs w:val="0"/>
          <w:color w:val="000000"/>
          <w:sz w:val="36"/>
          <w:szCs w:val="36"/>
          <w:lang w:val="en-US" w:eastAsia="zh-CN"/>
        </w:rPr>
        <w:t>2024-2030年</w:t>
      </w:r>
      <w:bookmarkStart w:id="44" w:name="_GoBack"/>
      <w:bookmarkEnd w:id="44"/>
      <w:r>
        <w:rPr>
          <w:rFonts w:hint="eastAsia" w:ascii="方正小标宋简体" w:hAnsi="方正小标宋简体" w:eastAsia="方正小标宋简体" w:cs="方正小标宋简体"/>
          <w:b w:val="0"/>
          <w:bCs w:val="0"/>
          <w:color w:val="000000"/>
          <w:sz w:val="36"/>
          <w:szCs w:val="36"/>
          <w:lang w:eastAsia="zh-CN"/>
        </w:rPr>
        <w:t>）</w:t>
      </w:r>
    </w:p>
    <w:p>
      <w:pPr>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eastAsia" w:ascii="楷体" w:hAnsi="楷体" w:eastAsia="楷体" w:cs="楷体"/>
          <w:b/>
          <w:bCs/>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eastAsia="zh-CN"/>
        </w:rPr>
        <w:t>草案</w:t>
      </w:r>
      <w:r>
        <w:rPr>
          <w:rFonts w:hint="eastAsia" w:ascii="楷体" w:hAnsi="楷体" w:eastAsia="楷体" w:cs="楷体"/>
          <w:b/>
          <w:bCs/>
          <w:sz w:val="32"/>
          <w:szCs w:val="32"/>
        </w:rPr>
        <w:t>）</w:t>
      </w:r>
    </w:p>
    <w:p>
      <w:pPr>
        <w:pageBreakBefore w:val="0"/>
        <w:widowControl w:val="0"/>
        <w:kinsoku/>
        <w:wordWrap/>
        <w:overflowPunct/>
        <w:topLinePunct w:val="0"/>
        <w:autoSpaceDE/>
        <w:autoSpaceDN/>
        <w:bidi w:val="0"/>
        <w:adjustRightInd/>
        <w:snapToGrid/>
        <w:spacing w:line="580" w:lineRule="exact"/>
        <w:ind w:firstLine="600"/>
        <w:textAlignment w:val="auto"/>
        <w:rPr>
          <w:shd w:val="clear" w:color="auto" w:fill="FFFFFF"/>
        </w:rPr>
      </w:pPr>
    </w:p>
    <w:p>
      <w:pPr>
        <w:pageBreakBefore w:val="0"/>
        <w:widowControl w:val="0"/>
        <w:kinsoku/>
        <w:wordWrap/>
        <w:overflowPunct/>
        <w:topLinePunct w:val="0"/>
        <w:autoSpaceDE/>
        <w:autoSpaceDN/>
        <w:bidi w:val="0"/>
        <w:adjustRightInd/>
        <w:snapToGrid/>
        <w:spacing w:line="580" w:lineRule="exact"/>
        <w:ind w:firstLine="600"/>
        <w:textAlignment w:val="auto"/>
        <w:rPr>
          <w:rFonts w:hint="eastAsia" w:ascii="仿宋_GB2312" w:hAnsi="仿宋_GB2312" w:eastAsia="仿宋_GB2312" w:cs="仿宋_GB2312"/>
          <w:sz w:val="32"/>
          <w:szCs w:val="32"/>
          <w:shd w:val="clear" w:color="auto" w:fill="FFFFFF"/>
        </w:rPr>
      </w:pPr>
      <w:bookmarkStart w:id="1" w:name="_Hlk145324417"/>
      <w:r>
        <w:rPr>
          <w:rFonts w:hint="eastAsia" w:ascii="仿宋_GB2312" w:hAnsi="仿宋_GB2312" w:eastAsia="仿宋_GB2312" w:cs="仿宋_GB2312"/>
          <w:sz w:val="32"/>
          <w:szCs w:val="32"/>
          <w:shd w:val="clear" w:color="auto" w:fill="FFFFFF"/>
        </w:rPr>
        <w:t>上海域外农场</w:t>
      </w:r>
      <w:bookmarkStart w:id="2" w:name="_Hlk146532822"/>
      <w:r>
        <w:rPr>
          <w:rFonts w:hint="eastAsia" w:ascii="仿宋_GB2312" w:hAnsi="仿宋_GB2312" w:eastAsia="仿宋_GB2312" w:cs="仿宋_GB2312"/>
          <w:sz w:val="32"/>
          <w:szCs w:val="32"/>
          <w:shd w:val="clear" w:color="auto" w:fill="FFFFFF"/>
        </w:rPr>
        <w:t>（以下简称“域外农场”）</w:t>
      </w:r>
      <w:bookmarkEnd w:id="2"/>
      <w:r>
        <w:rPr>
          <w:rFonts w:hint="eastAsia" w:ascii="仿宋_GB2312" w:hAnsi="仿宋_GB2312" w:eastAsia="仿宋_GB2312" w:cs="仿宋_GB2312"/>
          <w:sz w:val="32"/>
          <w:szCs w:val="32"/>
          <w:shd w:val="clear" w:color="auto" w:fill="FFFFFF"/>
        </w:rPr>
        <w:t>包括苏北农场、皖南农场，总面积约370平方公里</w:t>
      </w:r>
      <w:bookmarkEnd w:id="1"/>
      <w:r>
        <w:rPr>
          <w:rFonts w:hint="eastAsia" w:ascii="仿宋_GB2312" w:hAnsi="仿宋_GB2312" w:eastAsia="仿宋_GB2312" w:cs="仿宋_GB2312"/>
          <w:sz w:val="32"/>
          <w:szCs w:val="32"/>
          <w:shd w:val="clear" w:color="auto" w:fill="FFFFFF"/>
        </w:rPr>
        <w:t>，是上海重要的农产品生产基地、现代农业发展的战略空间。按照《关于促进上海域外农场高质量发展的实施意见》（沪府办发〔2022〕20号）要求，制定本专项规划。</w:t>
      </w:r>
    </w:p>
    <w:p>
      <w:pPr>
        <w:pStyle w:val="3"/>
        <w:pageBreakBefore w:val="0"/>
        <w:widowControl w:val="0"/>
        <w:kinsoku/>
        <w:wordWrap/>
        <w:overflowPunct/>
        <w:topLinePunct w:val="0"/>
        <w:autoSpaceDE/>
        <w:autoSpaceDN/>
        <w:bidi w:val="0"/>
        <w:adjustRightInd/>
        <w:snapToGrid/>
        <w:spacing w:line="580" w:lineRule="exact"/>
        <w:ind w:firstLine="602"/>
        <w:textAlignment w:val="auto"/>
        <w:rPr>
          <w:sz w:val="32"/>
          <w:szCs w:val="32"/>
        </w:rPr>
      </w:pPr>
      <w:bookmarkStart w:id="3" w:name="_Toc147840320"/>
      <w:bookmarkStart w:id="4" w:name="_Hlk148001201"/>
      <w:r>
        <w:rPr>
          <w:rFonts w:hint="eastAsia"/>
          <w:sz w:val="32"/>
          <w:szCs w:val="32"/>
        </w:rPr>
        <w:t>一、发展基础</w:t>
      </w:r>
      <w:bookmarkEnd w:id="3"/>
    </w:p>
    <w:bookmarkEnd w:id="4"/>
    <w:p>
      <w:pPr>
        <w:pageBreakBefore w:val="0"/>
        <w:widowControl w:val="0"/>
        <w:kinsoku/>
        <w:wordWrap/>
        <w:overflowPunct/>
        <w:topLinePunct w:val="0"/>
        <w:autoSpaceDE/>
        <w:autoSpaceDN/>
        <w:bidi w:val="0"/>
        <w:adjustRightInd/>
        <w:snapToGrid/>
        <w:spacing w:line="580" w:lineRule="exact"/>
        <w:ind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域外农场的形成有着特定的历史背景，经历了以人员安置为主、农业生产与人员安置并重、农业生产为主的发展阶段，为保障上海城市发展作出了重要贡献。自</w:t>
      </w:r>
      <w:r>
        <w:rPr>
          <w:rFonts w:hint="eastAsia" w:ascii="仿宋_GB2312" w:hAnsi="仿宋_GB2312" w:eastAsia="仿宋_GB2312" w:cs="仿宋_GB2312"/>
          <w:sz w:val="32"/>
          <w:szCs w:val="32"/>
        </w:rPr>
        <w:t>苏北农场于2009年完成“场所分离”、皖南农场于2018年完成“场监分离”以来，域外农场按程序授权光明食品集团长期管理，使用域外农场经营性土地、资产</w:t>
      </w:r>
      <w:r>
        <w:rPr>
          <w:rFonts w:hint="eastAsia" w:ascii="仿宋_GB2312" w:hAnsi="仿宋_GB2312" w:eastAsia="仿宋_GB2312" w:cs="仿宋_GB2312"/>
          <w:sz w:val="32"/>
          <w:szCs w:val="32"/>
          <w:shd w:val="clear" w:color="auto" w:fill="FFFFFF"/>
        </w:rPr>
        <w:t>。2022年，域外农场农业总产值达31.8亿元；耕地面积24万余亩，完成高标准农田建设19.4万亩；粮食播种面积28.7万亩次，总产量15.0万吨；全年生猪出栏46.4万头，蛋鸡养殖规模29.3万羽，淡水养殖面积</w:t>
      </w:r>
      <w:r>
        <w:rPr>
          <w:rFonts w:hint="eastAsia" w:ascii="仿宋_GB2312" w:hAnsi="仿宋_GB2312" w:eastAsia="仿宋_GB2312" w:cs="仿宋_GB2312"/>
          <w:sz w:val="32"/>
          <w:szCs w:val="32"/>
          <w:highlight w:val="none"/>
          <w:shd w:val="clear" w:color="auto" w:fill="FFFFFF"/>
        </w:rPr>
        <w:t>8.2</w:t>
      </w:r>
      <w:r>
        <w:rPr>
          <w:rFonts w:hint="eastAsia" w:ascii="仿宋_GB2312" w:hAnsi="仿宋_GB2312" w:eastAsia="仿宋_GB2312" w:cs="仿宋_GB2312"/>
          <w:sz w:val="32"/>
          <w:szCs w:val="32"/>
          <w:shd w:val="clear" w:color="auto" w:fill="FFFFFF"/>
        </w:rPr>
        <w:t>万亩，年末奶牛存栏量为3.0万头；</w:t>
      </w:r>
      <w:r>
        <w:rPr>
          <w:rFonts w:hint="eastAsia" w:ascii="仿宋_GB2312" w:hAnsi="仿宋_GB2312" w:eastAsia="仿宋_GB2312" w:cs="仿宋_GB2312"/>
          <w:sz w:val="32"/>
          <w:szCs w:val="32"/>
        </w:rPr>
        <w:t>通过绿色食品认证、有机食品认证31个，</w:t>
      </w:r>
      <w:r>
        <w:rPr>
          <w:rFonts w:hint="eastAsia" w:ascii="仿宋_GB2312" w:hAnsi="仿宋_GB2312" w:eastAsia="仿宋_GB2312" w:cs="仿宋_GB2312"/>
          <w:sz w:val="32"/>
          <w:szCs w:val="32"/>
          <w:shd w:val="clear" w:color="auto" w:fill="FFFFFF"/>
        </w:rPr>
        <w:t>水稻绿色有机认证率达</w:t>
      </w:r>
      <w:r>
        <w:rPr>
          <w:rFonts w:hint="eastAsia" w:ascii="仿宋_GB2312" w:hAnsi="仿宋_GB2312" w:eastAsia="仿宋_GB2312" w:cs="仿宋_GB2312"/>
          <w:sz w:val="32"/>
          <w:szCs w:val="32"/>
          <w:highlight w:val="none"/>
          <w:shd w:val="clear" w:color="auto" w:fill="FFFFFF"/>
        </w:rPr>
        <w:t>95%</w:t>
      </w:r>
      <w:r>
        <w:rPr>
          <w:rFonts w:hint="eastAsia" w:ascii="仿宋_GB2312" w:hAnsi="仿宋_GB2312" w:cs="仿宋_GB2312"/>
          <w:sz w:val="32"/>
          <w:szCs w:val="32"/>
          <w:highlight w:val="none"/>
          <w:shd w:val="clear" w:color="auto" w:fill="FFFFFF"/>
          <w:lang w:eastAsia="zh-CN"/>
        </w:rPr>
        <w:t>，</w:t>
      </w:r>
      <w:r>
        <w:rPr>
          <w:rFonts w:hint="eastAsia" w:ascii="仿宋_GB2312" w:hAnsi="仿宋_GB2312" w:eastAsia="仿宋_GB2312" w:cs="仿宋_GB2312"/>
          <w:sz w:val="32"/>
          <w:szCs w:val="32"/>
          <w:shd w:val="clear" w:color="auto" w:fill="FFFFFF"/>
        </w:rPr>
        <w:t>大米、鲜鸡蛋等领域具有一定知名度。</w:t>
      </w:r>
    </w:p>
    <w:p>
      <w:pPr>
        <w:pageBreakBefore w:val="0"/>
        <w:widowControl w:val="0"/>
        <w:kinsoku/>
        <w:wordWrap/>
        <w:overflowPunct/>
        <w:topLinePunct w:val="0"/>
        <w:autoSpaceDE/>
        <w:autoSpaceDN/>
        <w:bidi w:val="0"/>
        <w:adjustRightInd/>
        <w:snapToGrid/>
        <w:spacing w:line="580" w:lineRule="exact"/>
        <w:ind w:firstLine="600"/>
        <w:textAlignment w:val="auto"/>
        <w:rPr>
          <w:shd w:val="clear" w:color="auto" w:fill="FFFFFF"/>
        </w:rPr>
      </w:pPr>
      <w:r>
        <w:rPr>
          <w:rFonts w:hint="eastAsia" w:ascii="仿宋_GB2312" w:hAnsi="仿宋_GB2312" w:eastAsia="仿宋_GB2312" w:cs="仿宋_GB2312"/>
          <w:sz w:val="32"/>
          <w:szCs w:val="32"/>
        </w:rPr>
        <w:t>苏北农场</w:t>
      </w:r>
      <w:r>
        <w:rPr>
          <w:rFonts w:hint="eastAsia" w:ascii="仿宋_GB2312" w:hAnsi="仿宋_GB2312" w:eastAsia="仿宋_GB2312" w:cs="仿宋_GB2312"/>
          <w:sz w:val="32"/>
          <w:szCs w:val="32"/>
          <w:shd w:val="clear" w:color="auto" w:fill="FFFFFF"/>
        </w:rPr>
        <w:t>包括位于江苏省盐城市的上海农场、川东农场、海丰农场，区域面积约307平方公里，以粮食种植和养殖业为主，</w:t>
      </w:r>
      <w:r>
        <w:rPr>
          <w:rFonts w:hint="eastAsia" w:ascii="仿宋_GB2312" w:hAnsi="仿宋_GB2312" w:eastAsia="仿宋_GB2312" w:cs="仿宋_GB2312"/>
          <w:sz w:val="32"/>
          <w:szCs w:val="32"/>
        </w:rPr>
        <w:t>由光明食品集团旗下多家公司负责经营。</w:t>
      </w:r>
      <w:r>
        <w:rPr>
          <w:rFonts w:hint="eastAsia" w:ascii="仿宋_GB2312" w:hAnsi="仿宋_GB2312" w:eastAsia="仿宋_GB2312" w:cs="仿宋_GB2312"/>
          <w:sz w:val="32"/>
          <w:szCs w:val="32"/>
          <w:shd w:val="clear" w:color="auto" w:fill="FFFFFF"/>
        </w:rPr>
        <w:t>拥有1家国家级生猪育种场、1家国家级育繁推一体化种子企业，种养殖水平处于国内领先地位，建成渔业万亩智能养殖技术集成示范区，积极布局大米、禽蛋、淡水产品等加工业。</w:t>
      </w:r>
      <w:r>
        <w:rPr>
          <w:rFonts w:hint="eastAsia" w:ascii="仿宋_GB2312" w:hAnsi="仿宋_GB2312" w:eastAsia="仿宋_GB2312" w:cs="仿宋_GB2312"/>
          <w:sz w:val="32"/>
          <w:szCs w:val="32"/>
        </w:rPr>
        <w:t>与大丰区开展“一园一厨五基地”建设，成立沪盐场地禽蛋产业化联合体、沪丰优粮产业生态联盟，共同打造“大丰仓”品牌。</w:t>
      </w:r>
    </w:p>
    <w:p>
      <w:pPr>
        <w:pageBreakBefore w:val="0"/>
        <w:widowControl w:val="0"/>
        <w:kinsoku/>
        <w:wordWrap/>
        <w:overflowPunct/>
        <w:topLinePunct w:val="0"/>
        <w:autoSpaceDE/>
        <w:autoSpaceDN/>
        <w:bidi w:val="0"/>
        <w:adjustRightInd/>
        <w:snapToGrid/>
        <w:spacing w:line="580" w:lineRule="exact"/>
        <w:ind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皖南农场包括位于安徽省宣城市的白茅岭农场、军天湖农场及位于安徽省黄山市的黄山茶林场、练江牧场，区域面积约63平方公里，以蓝莓、茶叶等特色产业为主，已形成一定规模</w:t>
      </w:r>
      <w:r>
        <w:rPr>
          <w:rFonts w:hint="eastAsia" w:ascii="仿宋_GB2312" w:hAnsi="仿宋_GB2312" w:eastAsia="仿宋_GB2312" w:cs="仿宋_GB2312"/>
          <w:sz w:val="32"/>
          <w:szCs w:val="32"/>
        </w:rPr>
        <w:t>。与郎溪县等地谋划“一地六县”合作区建设，通过示范种植、技术输出等方式带动皖南地区产业发展。</w:t>
      </w:r>
    </w:p>
    <w:bookmarkEnd w:id="0"/>
    <w:p>
      <w:pPr>
        <w:pageBreakBefore w:val="0"/>
        <w:widowControl w:val="0"/>
        <w:kinsoku/>
        <w:wordWrap/>
        <w:overflowPunct/>
        <w:topLinePunct w:val="0"/>
        <w:autoSpaceDE/>
        <w:autoSpaceDN/>
        <w:bidi w:val="0"/>
        <w:adjustRightInd/>
        <w:snapToGrid/>
        <w:spacing w:line="580" w:lineRule="exact"/>
        <w:ind w:firstLine="600"/>
        <w:textAlignment w:val="auto"/>
        <w:rPr>
          <w:rFonts w:hint="eastAsia" w:ascii="仿宋_GB2312" w:hAnsi="仿宋_GB2312" w:eastAsia="仿宋_GB2312" w:cs="仿宋_GB2312"/>
          <w:sz w:val="32"/>
          <w:szCs w:val="32"/>
        </w:rPr>
      </w:pPr>
      <w:bookmarkStart w:id="5" w:name="_Toc31414"/>
      <w:bookmarkStart w:id="6" w:name="_Toc147840321"/>
      <w:r>
        <w:rPr>
          <w:rFonts w:hint="eastAsia" w:ascii="仿宋_GB2312" w:hAnsi="仿宋_GB2312" w:eastAsia="仿宋_GB2312" w:cs="仿宋_GB2312"/>
          <w:color w:val="000000"/>
          <w:sz w:val="32"/>
          <w:szCs w:val="32"/>
        </w:rPr>
        <w:t>经过多年发展，域外农场规模种养产出水平较高，现代农业体系初具雏形，但仍存在</w:t>
      </w:r>
      <w:r>
        <w:rPr>
          <w:rFonts w:hint="eastAsia" w:ascii="仿宋_GB2312" w:hAnsi="仿宋_GB2312" w:eastAsia="仿宋_GB2312" w:cs="仿宋_GB2312"/>
          <w:sz w:val="32"/>
          <w:szCs w:val="32"/>
        </w:rPr>
        <w:t>产业结构层次较低、</w:t>
      </w:r>
      <w:r>
        <w:rPr>
          <w:rFonts w:hint="eastAsia" w:ascii="仿宋_GB2312" w:hAnsi="仿宋_GB2312" w:eastAsia="仿宋_GB2312" w:cs="仿宋_GB2312"/>
          <w:color w:val="000000"/>
          <w:sz w:val="32"/>
          <w:szCs w:val="32"/>
        </w:rPr>
        <w:t>内生动力不足、</w:t>
      </w:r>
      <w:r>
        <w:rPr>
          <w:rFonts w:hint="eastAsia" w:ascii="仿宋_GB2312" w:hAnsi="仿宋_GB2312" w:eastAsia="仿宋_GB2312" w:cs="仿宋_GB2312"/>
          <w:sz w:val="32"/>
          <w:szCs w:val="32"/>
        </w:rPr>
        <w:t>供沪能力不强、与当地融合深度不够等瓶颈问题。域外农场具有承担重大使命的历史传统，在保障超大城市优质主副食品供应、推进长三角一体化发展战略等方面具有独特优势，亟待在上海率先实现农业现代化中发挥更大作用、提供更强支撑，走出一条符合超大城市发展规律的农业现代化之路。</w:t>
      </w:r>
    </w:p>
    <w:p>
      <w:pPr>
        <w:pStyle w:val="3"/>
        <w:pageBreakBefore w:val="0"/>
        <w:widowControl w:val="0"/>
        <w:kinsoku/>
        <w:wordWrap/>
        <w:overflowPunct/>
        <w:topLinePunct w:val="0"/>
        <w:autoSpaceDE/>
        <w:autoSpaceDN/>
        <w:bidi w:val="0"/>
        <w:adjustRightInd/>
        <w:snapToGrid/>
        <w:spacing w:line="580" w:lineRule="exact"/>
        <w:ind w:firstLine="602"/>
        <w:textAlignment w:val="auto"/>
        <w:rPr>
          <w:sz w:val="32"/>
          <w:szCs w:val="32"/>
        </w:rPr>
      </w:pPr>
      <w:bookmarkStart w:id="7" w:name="_Hlk148001230"/>
      <w:r>
        <w:rPr>
          <w:rFonts w:hint="eastAsia"/>
          <w:sz w:val="32"/>
          <w:szCs w:val="32"/>
        </w:rPr>
        <w:t>二、总体思路</w:t>
      </w:r>
      <w:bookmarkEnd w:id="5"/>
      <w:bookmarkEnd w:id="6"/>
    </w:p>
    <w:bookmarkEnd w:id="7"/>
    <w:p>
      <w:pPr>
        <w:pStyle w:val="4"/>
        <w:pageBreakBefore w:val="0"/>
        <w:widowControl w:val="0"/>
        <w:kinsoku/>
        <w:wordWrap/>
        <w:overflowPunct/>
        <w:topLinePunct w:val="0"/>
        <w:autoSpaceDE/>
        <w:autoSpaceDN/>
        <w:bidi w:val="0"/>
        <w:adjustRightInd/>
        <w:snapToGrid/>
        <w:spacing w:line="580" w:lineRule="exact"/>
        <w:ind w:firstLine="643"/>
        <w:textAlignment w:val="auto"/>
        <w:rPr>
          <w:sz w:val="32"/>
          <w:szCs w:val="32"/>
        </w:rPr>
      </w:pPr>
      <w:bookmarkStart w:id="8" w:name="_Toc147840322"/>
      <w:bookmarkStart w:id="9" w:name="_Toc139465015"/>
      <w:bookmarkStart w:id="10" w:name="_Toc25230"/>
      <w:r>
        <w:rPr>
          <w:rFonts w:hint="eastAsia"/>
          <w:sz w:val="32"/>
          <w:szCs w:val="32"/>
        </w:rPr>
        <w:t>（一）指导思想</w:t>
      </w:r>
      <w:bookmarkEnd w:id="8"/>
      <w:bookmarkEnd w:id="9"/>
      <w:bookmarkEnd w:id="10"/>
    </w:p>
    <w:p>
      <w:pPr>
        <w:pageBreakBefore w:val="0"/>
        <w:widowControl w:val="0"/>
        <w:kinsoku/>
        <w:wordWrap/>
        <w:overflowPunct/>
        <w:topLinePunct w:val="0"/>
        <w:autoSpaceDE/>
        <w:autoSpaceDN/>
        <w:bidi w:val="0"/>
        <w:adjustRightInd/>
        <w:snapToGrid/>
        <w:spacing w:line="580" w:lineRule="exact"/>
        <w:ind w:firstLine="600"/>
        <w:textAlignment w:val="auto"/>
        <w:rPr>
          <w:sz w:val="32"/>
          <w:szCs w:val="32"/>
        </w:rPr>
      </w:pPr>
      <w:bookmarkStart w:id="11" w:name="_Hlk146219173"/>
      <w:r>
        <w:rPr>
          <w:rFonts w:hint="eastAsia"/>
          <w:sz w:val="32"/>
          <w:szCs w:val="32"/>
        </w:rPr>
        <w:t>以习近平新时代中国特色社会主义思想为指导，深入贯彻落实党的二十大和市第十二次党代会精神，树立大食物观，紧紧围绕域外农场作为上海优质主副食品的重要供应基地、上海超大城市发展的重要战略空间、促进长三角一体化发展合作示范载体的功能定位，健全现代农业产业体系，升级现代农业生产体系，增强现代农业经营体系，夯实域外农场供沪保障功能，提升现代</w:t>
      </w:r>
      <w:r>
        <w:rPr>
          <w:sz w:val="32"/>
          <w:szCs w:val="32"/>
        </w:rPr>
        <w:t>农业质量效益和竞争力</w:t>
      </w:r>
      <w:r>
        <w:rPr>
          <w:rFonts w:hint="eastAsia"/>
          <w:sz w:val="32"/>
          <w:szCs w:val="32"/>
        </w:rPr>
        <w:t>，建设与上海社会主义现代化国际大都市地位相匹配的现代化农场。</w:t>
      </w:r>
    </w:p>
    <w:bookmarkEnd w:id="11"/>
    <w:p>
      <w:pPr>
        <w:pStyle w:val="4"/>
        <w:pageBreakBefore w:val="0"/>
        <w:widowControl w:val="0"/>
        <w:kinsoku/>
        <w:wordWrap/>
        <w:overflowPunct/>
        <w:topLinePunct w:val="0"/>
        <w:autoSpaceDE/>
        <w:autoSpaceDN/>
        <w:bidi w:val="0"/>
        <w:adjustRightInd/>
        <w:snapToGrid/>
        <w:spacing w:line="580" w:lineRule="exact"/>
        <w:ind w:firstLine="643"/>
        <w:textAlignment w:val="auto"/>
      </w:pPr>
      <w:bookmarkStart w:id="12" w:name="_Toc139465016"/>
      <w:bookmarkStart w:id="13" w:name="_Toc19453"/>
      <w:bookmarkStart w:id="14" w:name="_Toc147840324"/>
      <w:r>
        <w:rPr>
          <w:rFonts w:hint="eastAsia"/>
        </w:rPr>
        <w:t>（二）发展原则</w:t>
      </w:r>
      <w:bookmarkEnd w:id="12"/>
      <w:bookmarkEnd w:id="13"/>
      <w:bookmarkEnd w:id="14"/>
    </w:p>
    <w:p>
      <w:pPr>
        <w:pageBreakBefore w:val="0"/>
        <w:widowControl w:val="0"/>
        <w:kinsoku/>
        <w:wordWrap/>
        <w:overflowPunct/>
        <w:topLinePunct w:val="0"/>
        <w:autoSpaceDE/>
        <w:autoSpaceDN/>
        <w:bidi w:val="0"/>
        <w:adjustRightInd/>
        <w:snapToGrid/>
        <w:spacing w:line="580" w:lineRule="exact"/>
        <w:ind w:firstLine="602"/>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一是坚持主业突出，品质发展。</w:t>
      </w:r>
      <w:r>
        <w:rPr>
          <w:rFonts w:hint="eastAsia" w:ascii="仿宋_GB2312" w:hAnsi="仿宋_GB2312" w:eastAsia="仿宋_GB2312" w:cs="仿宋_GB2312"/>
          <w:sz w:val="32"/>
          <w:szCs w:val="32"/>
        </w:rPr>
        <w:t>立足上海特大城市生活所需，做强主导产业，优化产品结构，培育一批符合上海市民消费需求的优质农产品，实现产业深度融合发展和全链条增值。</w:t>
      </w:r>
    </w:p>
    <w:p>
      <w:pPr>
        <w:pageBreakBefore w:val="0"/>
        <w:widowControl w:val="0"/>
        <w:kinsoku/>
        <w:wordWrap/>
        <w:overflowPunct/>
        <w:topLinePunct w:val="0"/>
        <w:autoSpaceDE/>
        <w:autoSpaceDN/>
        <w:bidi w:val="0"/>
        <w:adjustRightInd/>
        <w:snapToGrid/>
        <w:spacing w:line="580" w:lineRule="exact"/>
        <w:ind w:firstLine="602"/>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二是坚持生态优先，绿色发展。</w:t>
      </w:r>
      <w:r>
        <w:rPr>
          <w:rFonts w:hint="eastAsia" w:ascii="仿宋_GB2312" w:hAnsi="仿宋_GB2312" w:eastAsia="仿宋_GB2312" w:cs="仿宋_GB2312"/>
          <w:sz w:val="32"/>
          <w:szCs w:val="32"/>
        </w:rPr>
        <w:t>贯彻落实绿色生产理念，推广种养循环模式，加强农业废弃物资源化利用，形成集中连片绿色种养示范样板，加快实现农业发展绿色转型。</w:t>
      </w:r>
    </w:p>
    <w:p>
      <w:pPr>
        <w:pageBreakBefore w:val="0"/>
        <w:widowControl w:val="0"/>
        <w:kinsoku/>
        <w:wordWrap/>
        <w:overflowPunct/>
        <w:topLinePunct w:val="0"/>
        <w:autoSpaceDE/>
        <w:autoSpaceDN/>
        <w:bidi w:val="0"/>
        <w:adjustRightInd/>
        <w:snapToGrid/>
        <w:spacing w:line="580" w:lineRule="exact"/>
        <w:ind w:firstLine="602"/>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b/>
          <w:bCs/>
          <w:sz w:val="32"/>
          <w:szCs w:val="32"/>
        </w:rPr>
        <w:t>三是坚持科技引领，前沿发展。</w:t>
      </w:r>
      <w:r>
        <w:rPr>
          <w:rFonts w:hint="eastAsia" w:ascii="仿宋_GB2312" w:hAnsi="仿宋_GB2312" w:eastAsia="仿宋_GB2312" w:cs="仿宋_GB2312"/>
          <w:sz w:val="32"/>
          <w:szCs w:val="32"/>
        </w:rPr>
        <w:t>充分发挥科技的支撑引领作用，将先进技术深入融合到农业生产、经营、管理各环节，推动现代农业向集约化、智慧化、数字化转型。</w:t>
      </w:r>
    </w:p>
    <w:p>
      <w:pPr>
        <w:pageBreakBefore w:val="0"/>
        <w:widowControl w:val="0"/>
        <w:kinsoku/>
        <w:wordWrap/>
        <w:overflowPunct/>
        <w:topLinePunct w:val="0"/>
        <w:autoSpaceDE/>
        <w:autoSpaceDN/>
        <w:bidi w:val="0"/>
        <w:adjustRightInd/>
        <w:snapToGrid/>
        <w:spacing w:line="580" w:lineRule="exact"/>
        <w:ind w:firstLine="602"/>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b/>
          <w:bCs/>
          <w:sz w:val="32"/>
          <w:szCs w:val="32"/>
        </w:rPr>
        <w:t>四是坚持区域联动，引领发展。</w:t>
      </w:r>
      <w:r>
        <w:rPr>
          <w:rFonts w:hint="eastAsia" w:ascii="仿宋_GB2312" w:hAnsi="仿宋_GB2312" w:eastAsia="仿宋_GB2312" w:cs="仿宋_GB2312"/>
          <w:sz w:val="32"/>
          <w:szCs w:val="32"/>
        </w:rPr>
        <w:t>立足资源禀赋，深化与盐城市、宣城市、黄山市等区域垦地合作，带动当地优质农产品进入上海市场，引领当地现代农业提质增效。</w:t>
      </w:r>
    </w:p>
    <w:p>
      <w:pPr>
        <w:pStyle w:val="4"/>
        <w:pageBreakBefore w:val="0"/>
        <w:widowControl w:val="0"/>
        <w:kinsoku/>
        <w:wordWrap/>
        <w:overflowPunct/>
        <w:topLinePunct w:val="0"/>
        <w:autoSpaceDE/>
        <w:autoSpaceDN/>
        <w:bidi w:val="0"/>
        <w:adjustRightInd/>
        <w:snapToGrid/>
        <w:spacing w:line="580" w:lineRule="exact"/>
        <w:ind w:firstLine="643"/>
        <w:textAlignment w:val="auto"/>
      </w:pPr>
      <w:bookmarkStart w:id="15" w:name="_Toc147840325"/>
      <w:r>
        <w:rPr>
          <w:rFonts w:hint="eastAsia"/>
        </w:rPr>
        <w:t>（三）发展目标</w:t>
      </w:r>
      <w:bookmarkEnd w:id="15"/>
    </w:p>
    <w:p>
      <w:pPr>
        <w:pageBreakBefore w:val="0"/>
        <w:widowControl w:val="0"/>
        <w:kinsoku/>
        <w:wordWrap/>
        <w:overflowPunct/>
        <w:topLinePunct w:val="0"/>
        <w:autoSpaceDE/>
        <w:autoSpaceDN/>
        <w:bidi w:val="0"/>
        <w:adjustRightInd/>
        <w:snapToGrid/>
        <w:spacing w:line="580" w:lineRule="exact"/>
        <w:ind w:firstLine="600"/>
        <w:textAlignment w:val="auto"/>
        <w:rPr>
          <w:rFonts w:hint="eastAsia" w:ascii="仿宋_GB2312" w:hAnsi="仿宋_GB2312" w:eastAsia="仿宋_GB2312" w:cs="仿宋_GB2312"/>
          <w:sz w:val="32"/>
          <w:szCs w:val="32"/>
        </w:rPr>
      </w:pPr>
      <w:bookmarkStart w:id="16" w:name="_Hlk147328690"/>
      <w:r>
        <w:rPr>
          <w:rFonts w:hint="eastAsia" w:ascii="仿宋_GB2312" w:hAnsi="仿宋_GB2312" w:eastAsia="仿宋_GB2312" w:cs="仿宋_GB2312"/>
          <w:sz w:val="32"/>
          <w:szCs w:val="32"/>
        </w:rPr>
        <w:t>到2025年，域外农场运行机制高效有序，农业生产基础设施提档升级，科技、人才、资金等发展要素支撑有力，大米、猪肉、禽蛋、牛奶等主要农产品生产与集成量提高到150万吨，主要农产品供沪量占比超过70%。</w:t>
      </w:r>
    </w:p>
    <w:bookmarkEnd w:id="16"/>
    <w:p>
      <w:pPr>
        <w:pageBreakBefore w:val="0"/>
        <w:widowControl w:val="0"/>
        <w:kinsoku/>
        <w:wordWrap/>
        <w:overflowPunct/>
        <w:topLinePunct w:val="0"/>
        <w:autoSpaceDE/>
        <w:autoSpaceDN/>
        <w:bidi w:val="0"/>
        <w:adjustRightInd/>
        <w:snapToGrid/>
        <w:spacing w:line="580" w:lineRule="exact"/>
        <w:ind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到2030年，域外农场现代农业产业结构持续优化，农产品加工业实现布局突破，生产绿色化、智慧化水平进一步提高，经营主体能级显著提升，经营活力明显增强，供沪能力和保障体系不断强化，农业质量效益和竞争力稳步提高。</w:t>
      </w:r>
    </w:p>
    <w:p>
      <w:pPr>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eastAsia" w:ascii="楷体" w:hAnsi="楷体" w:eastAsia="楷体" w:cs="楷体"/>
          <w:b/>
          <w:bCs/>
          <w:sz w:val="32"/>
          <w:szCs w:val="32"/>
        </w:rPr>
      </w:pPr>
      <w:bookmarkStart w:id="17" w:name="_Hlk146217754"/>
      <w:r>
        <w:rPr>
          <w:rFonts w:hint="eastAsia" w:ascii="楷体" w:hAnsi="楷体" w:eastAsia="楷体" w:cs="楷体"/>
          <w:b/>
          <w:bCs/>
          <w:sz w:val="32"/>
          <w:szCs w:val="32"/>
        </w:rPr>
        <w:t>表</w:t>
      </w:r>
      <w:r>
        <w:rPr>
          <w:rFonts w:hint="eastAsia" w:ascii="楷体" w:hAnsi="楷体" w:eastAsia="楷体" w:cs="楷体"/>
          <w:b/>
          <w:bCs/>
          <w:sz w:val="32"/>
          <w:szCs w:val="32"/>
          <w:lang w:val="en-US" w:eastAsia="zh-CN"/>
        </w:rPr>
        <w:t xml:space="preserve">1   </w:t>
      </w:r>
      <w:r>
        <w:rPr>
          <w:rFonts w:hint="eastAsia" w:ascii="楷体" w:hAnsi="楷体" w:eastAsia="楷体" w:cs="楷体"/>
          <w:b/>
          <w:bCs/>
          <w:sz w:val="32"/>
          <w:szCs w:val="32"/>
        </w:rPr>
        <w:t>域外农场现代农业主要发展指标</w:t>
      </w: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1"/>
        <w:gridCol w:w="700"/>
        <w:gridCol w:w="4391"/>
        <w:gridCol w:w="1448"/>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30" w:type="pc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类别</w:t>
            </w:r>
          </w:p>
        </w:tc>
        <w:tc>
          <w:tcPr>
            <w:tcW w:w="386" w:type="pc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2422" w:type="pc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指标名称</w:t>
            </w:r>
          </w:p>
        </w:tc>
        <w:tc>
          <w:tcPr>
            <w:tcW w:w="799" w:type="pc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单位</w:t>
            </w:r>
          </w:p>
        </w:tc>
        <w:tc>
          <w:tcPr>
            <w:tcW w:w="761" w:type="pc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2030年</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30" w:type="pct"/>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bCs/>
                <w:color w:val="FF0000"/>
                <w:sz w:val="24"/>
              </w:rPr>
            </w:pPr>
            <w:r>
              <w:rPr>
                <w:rFonts w:hint="eastAsia" w:ascii="仿宋_GB2312" w:hAnsi="仿宋_GB2312" w:eastAsia="仿宋_GB2312" w:cs="仿宋_GB2312"/>
                <w:sz w:val="24"/>
              </w:rPr>
              <w:t>现代农业产业体系</w:t>
            </w:r>
          </w:p>
        </w:tc>
        <w:tc>
          <w:tcPr>
            <w:tcW w:w="386" w:type="pc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bCs/>
                <w:color w:val="FF0000"/>
                <w:sz w:val="24"/>
              </w:rPr>
            </w:pPr>
            <w:r>
              <w:rPr>
                <w:rFonts w:hint="eastAsia" w:ascii="仿宋_GB2312" w:hAnsi="仿宋_GB2312" w:eastAsia="仿宋_GB2312" w:cs="仿宋_GB2312"/>
                <w:sz w:val="24"/>
              </w:rPr>
              <w:t>1</w:t>
            </w:r>
          </w:p>
        </w:tc>
        <w:tc>
          <w:tcPr>
            <w:tcW w:w="2422" w:type="pc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农业总产值</w:t>
            </w:r>
          </w:p>
        </w:tc>
        <w:tc>
          <w:tcPr>
            <w:tcW w:w="799" w:type="pc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亿元</w:t>
            </w:r>
          </w:p>
        </w:tc>
        <w:tc>
          <w:tcPr>
            <w:tcW w:w="761" w:type="pc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30" w:type="pct"/>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rPr>
            </w:pPr>
          </w:p>
        </w:tc>
        <w:tc>
          <w:tcPr>
            <w:tcW w:w="386" w:type="pc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2422" w:type="pc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农产品加工业与农业总产值之比</w:t>
            </w:r>
          </w:p>
        </w:tc>
        <w:tc>
          <w:tcPr>
            <w:tcW w:w="799" w:type="pc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61" w:type="pc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30" w:type="pct"/>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rPr>
            </w:pPr>
          </w:p>
        </w:tc>
        <w:tc>
          <w:tcPr>
            <w:tcW w:w="386" w:type="pc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2422" w:type="pc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trike/>
                <w:sz w:val="24"/>
              </w:rPr>
            </w:pPr>
            <w:r>
              <w:rPr>
                <w:rFonts w:hint="eastAsia" w:ascii="仿宋_GB2312" w:hAnsi="仿宋_GB2312" w:eastAsia="仿宋_GB2312" w:cs="仿宋_GB2312"/>
                <w:sz w:val="24"/>
              </w:rPr>
              <w:t>养殖业产值占农业总产值的比重</w:t>
            </w:r>
          </w:p>
        </w:tc>
        <w:tc>
          <w:tcPr>
            <w:tcW w:w="799" w:type="pc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61" w:type="pc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30" w:type="pct"/>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现代农业生产体系</w:t>
            </w:r>
          </w:p>
        </w:tc>
        <w:tc>
          <w:tcPr>
            <w:tcW w:w="386" w:type="pc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2422" w:type="pc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生态型高标准农田占永久基本农田比例</w:t>
            </w:r>
          </w:p>
        </w:tc>
        <w:tc>
          <w:tcPr>
            <w:tcW w:w="799" w:type="pc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61" w:type="pc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30" w:type="pct"/>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rPr>
            </w:pPr>
          </w:p>
        </w:tc>
        <w:tc>
          <w:tcPr>
            <w:tcW w:w="386" w:type="pc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2422" w:type="pc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农业科技进步贡献率</w:t>
            </w:r>
          </w:p>
        </w:tc>
        <w:tc>
          <w:tcPr>
            <w:tcW w:w="799" w:type="pc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61" w:type="pc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30" w:type="pct"/>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rPr>
            </w:pPr>
          </w:p>
        </w:tc>
        <w:tc>
          <w:tcPr>
            <w:tcW w:w="386" w:type="pc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2422" w:type="pc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地产绿色优质农产品占比</w:t>
            </w:r>
          </w:p>
        </w:tc>
        <w:tc>
          <w:tcPr>
            <w:tcW w:w="799" w:type="pc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61" w:type="pc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30" w:type="pct"/>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现代农业经营体系</w:t>
            </w:r>
          </w:p>
        </w:tc>
        <w:tc>
          <w:tcPr>
            <w:tcW w:w="386" w:type="pc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2422" w:type="pc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农业劳动生产率</w:t>
            </w:r>
          </w:p>
        </w:tc>
        <w:tc>
          <w:tcPr>
            <w:tcW w:w="799" w:type="pc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万元/人</w:t>
            </w:r>
          </w:p>
        </w:tc>
        <w:tc>
          <w:tcPr>
            <w:tcW w:w="761" w:type="pc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30" w:type="pct"/>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rPr>
            </w:pPr>
          </w:p>
        </w:tc>
        <w:tc>
          <w:tcPr>
            <w:tcW w:w="386" w:type="pc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2422" w:type="pc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trike/>
                <w:sz w:val="24"/>
              </w:rPr>
            </w:pPr>
            <w:bookmarkStart w:id="18" w:name="_Hlk146532522"/>
            <w:bookmarkStart w:id="19" w:name="_Hlk146533962"/>
            <w:r>
              <w:rPr>
                <w:rFonts w:hint="eastAsia" w:ascii="仿宋_GB2312" w:hAnsi="仿宋_GB2312" w:eastAsia="仿宋_GB2312" w:cs="仿宋_GB2312"/>
                <w:sz w:val="24"/>
              </w:rPr>
              <w:t>农业从业人员本科及以上学历或拥有专业职称人员</w:t>
            </w:r>
            <w:bookmarkEnd w:id="18"/>
            <w:r>
              <w:rPr>
                <w:rFonts w:hint="eastAsia" w:ascii="仿宋_GB2312" w:hAnsi="仿宋_GB2312" w:eastAsia="仿宋_GB2312" w:cs="仿宋_GB2312"/>
                <w:sz w:val="24"/>
              </w:rPr>
              <w:t>占比</w:t>
            </w:r>
            <w:bookmarkEnd w:id="19"/>
          </w:p>
        </w:tc>
        <w:tc>
          <w:tcPr>
            <w:tcW w:w="799" w:type="pc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trike/>
                <w:sz w:val="24"/>
              </w:rPr>
            </w:pPr>
            <w:r>
              <w:rPr>
                <w:rFonts w:hint="eastAsia" w:ascii="仿宋_GB2312" w:hAnsi="仿宋_GB2312" w:eastAsia="仿宋_GB2312" w:cs="仿宋_GB2312"/>
                <w:sz w:val="24"/>
              </w:rPr>
              <w:t>%</w:t>
            </w:r>
          </w:p>
        </w:tc>
        <w:tc>
          <w:tcPr>
            <w:tcW w:w="761" w:type="pc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trike/>
                <w:sz w:val="24"/>
              </w:rPr>
            </w:pPr>
            <w:r>
              <w:rPr>
                <w:rFonts w:hint="eastAsia" w:ascii="仿宋_GB2312" w:hAnsi="仿宋_GB2312" w:eastAsia="仿宋_GB2312" w:cs="仿宋_GB2312"/>
                <w:sz w:val="24"/>
              </w:rPr>
              <w:t>50以上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30" w:type="pct"/>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供沪保障体系</w:t>
            </w:r>
          </w:p>
        </w:tc>
        <w:tc>
          <w:tcPr>
            <w:tcW w:w="386" w:type="pc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9</w:t>
            </w:r>
          </w:p>
        </w:tc>
        <w:tc>
          <w:tcPr>
            <w:tcW w:w="2422" w:type="pc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rPr>
            </w:pPr>
            <w:bookmarkStart w:id="20" w:name="_Hlk146532690"/>
            <w:r>
              <w:rPr>
                <w:rFonts w:hint="eastAsia" w:ascii="仿宋_GB2312" w:hAnsi="仿宋_GB2312" w:eastAsia="仿宋_GB2312" w:cs="仿宋_GB2312"/>
                <w:sz w:val="24"/>
              </w:rPr>
              <w:t>集成量与生产量之比</w:t>
            </w:r>
            <w:bookmarkEnd w:id="20"/>
          </w:p>
        </w:tc>
        <w:tc>
          <w:tcPr>
            <w:tcW w:w="799" w:type="pc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61" w:type="pc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630" w:type="pct"/>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rPr>
            </w:pPr>
          </w:p>
        </w:tc>
        <w:tc>
          <w:tcPr>
            <w:tcW w:w="386" w:type="pc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2422" w:type="pc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trike/>
                <w:sz w:val="24"/>
              </w:rPr>
            </w:pPr>
            <w:r>
              <w:rPr>
                <w:rFonts w:hint="eastAsia" w:ascii="仿宋_GB2312" w:hAnsi="仿宋_GB2312" w:eastAsia="仿宋_GB2312" w:cs="仿宋_GB2312"/>
                <w:sz w:val="24"/>
              </w:rPr>
              <w:t>大米、猪肉、禽蛋、牛奶等主要农产品供沪量占比</w:t>
            </w:r>
          </w:p>
        </w:tc>
        <w:tc>
          <w:tcPr>
            <w:tcW w:w="799" w:type="pc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trike/>
                <w:sz w:val="24"/>
              </w:rPr>
            </w:pPr>
            <w:r>
              <w:rPr>
                <w:rFonts w:hint="eastAsia" w:ascii="仿宋_GB2312" w:hAnsi="仿宋_GB2312" w:eastAsia="仿宋_GB2312" w:cs="仿宋_GB2312"/>
                <w:sz w:val="24"/>
              </w:rPr>
              <w:t>%</w:t>
            </w:r>
          </w:p>
        </w:tc>
        <w:tc>
          <w:tcPr>
            <w:tcW w:w="761" w:type="pc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trike/>
                <w:sz w:val="24"/>
              </w:rPr>
            </w:pPr>
            <w:r>
              <w:rPr>
                <w:rFonts w:hint="eastAsia" w:ascii="仿宋_GB2312" w:hAnsi="仿宋_GB2312" w:eastAsia="仿宋_GB2312" w:cs="仿宋_GB2312"/>
                <w:sz w:val="24"/>
              </w:rPr>
              <w:t>70以上</w:t>
            </w:r>
          </w:p>
        </w:tc>
      </w:tr>
      <w:bookmarkEnd w:id="17"/>
    </w:tbl>
    <w:p>
      <w:pPr>
        <w:keepNext w:val="0"/>
        <w:keepLines w:val="0"/>
        <w:pageBreakBefore w:val="0"/>
        <w:widowControl w:val="0"/>
        <w:kinsoku/>
        <w:wordWrap/>
        <w:overflowPunct/>
        <w:topLinePunct w:val="0"/>
        <w:autoSpaceDE/>
        <w:autoSpaceDN/>
        <w:bidi w:val="0"/>
        <w:adjustRightInd/>
        <w:snapToGrid/>
        <w:spacing w:line="480" w:lineRule="exact"/>
        <w:ind w:firstLine="600"/>
        <w:textAlignment w:val="auto"/>
        <w:rPr>
          <w:rFonts w:hint="eastAsia" w:ascii="仿宋_GB2312" w:hAnsi="仿宋_GB2312" w:eastAsia="仿宋_GB2312" w:cs="仿宋_GB2312"/>
        </w:rPr>
      </w:pPr>
    </w:p>
    <w:p>
      <w:pPr>
        <w:pStyle w:val="3"/>
        <w:pageBreakBefore w:val="0"/>
        <w:widowControl w:val="0"/>
        <w:kinsoku/>
        <w:wordWrap/>
        <w:overflowPunct/>
        <w:topLinePunct w:val="0"/>
        <w:autoSpaceDE/>
        <w:autoSpaceDN/>
        <w:bidi w:val="0"/>
        <w:adjustRightInd/>
        <w:snapToGrid/>
        <w:spacing w:line="580" w:lineRule="exact"/>
        <w:ind w:firstLine="602"/>
        <w:textAlignment w:val="auto"/>
        <w:rPr>
          <w:sz w:val="32"/>
          <w:szCs w:val="32"/>
        </w:rPr>
      </w:pPr>
      <w:bookmarkStart w:id="21" w:name="_Toc9276"/>
      <w:bookmarkStart w:id="22" w:name="_Toc147840326"/>
      <w:bookmarkStart w:id="23" w:name="_Hlk146218300"/>
      <w:r>
        <w:rPr>
          <w:rFonts w:hint="eastAsia"/>
          <w:sz w:val="32"/>
          <w:szCs w:val="32"/>
        </w:rPr>
        <w:t>三、</w:t>
      </w:r>
      <w:bookmarkEnd w:id="21"/>
      <w:bookmarkEnd w:id="22"/>
      <w:r>
        <w:rPr>
          <w:rFonts w:hint="eastAsia"/>
          <w:sz w:val="32"/>
          <w:szCs w:val="32"/>
        </w:rPr>
        <w:t>主要任务</w:t>
      </w:r>
    </w:p>
    <w:p>
      <w:pPr>
        <w:pageBreakBefore w:val="0"/>
        <w:widowControl w:val="0"/>
        <w:kinsoku/>
        <w:wordWrap/>
        <w:overflowPunct/>
        <w:topLinePunct w:val="0"/>
        <w:autoSpaceDE/>
        <w:autoSpaceDN/>
        <w:bidi w:val="0"/>
        <w:adjustRightInd/>
        <w:snapToGrid/>
        <w:spacing w:line="580" w:lineRule="exact"/>
        <w:ind w:firstLine="600"/>
        <w:textAlignment w:val="auto"/>
        <w:rPr>
          <w:sz w:val="32"/>
          <w:szCs w:val="32"/>
        </w:rPr>
      </w:pPr>
      <w:r>
        <w:rPr>
          <w:rFonts w:hint="eastAsia"/>
          <w:sz w:val="32"/>
          <w:szCs w:val="32"/>
        </w:rPr>
        <w:t>面向新时期发展要求，域外农场要进一步加快产业结构调整，</w:t>
      </w:r>
      <w:bookmarkStart w:id="24" w:name="_Hlk150785984"/>
      <w:r>
        <w:rPr>
          <w:rFonts w:hint="eastAsia"/>
          <w:sz w:val="32"/>
          <w:szCs w:val="32"/>
        </w:rPr>
        <w:t>积极布局现代农业加工、流通等</w:t>
      </w:r>
      <w:bookmarkEnd w:id="24"/>
      <w:r>
        <w:rPr>
          <w:rFonts w:hint="eastAsia"/>
          <w:sz w:val="32"/>
          <w:szCs w:val="32"/>
        </w:rPr>
        <w:t>全产业链，完善种养加结合的现代农业产业体系；</w:t>
      </w:r>
      <w:bookmarkStart w:id="25" w:name="_Hlk150786034"/>
      <w:r>
        <w:rPr>
          <w:rFonts w:hint="eastAsia"/>
          <w:sz w:val="32"/>
          <w:szCs w:val="32"/>
        </w:rPr>
        <w:t>强化农业生产基础条件，</w:t>
      </w:r>
      <w:bookmarkEnd w:id="25"/>
      <w:r>
        <w:rPr>
          <w:rFonts w:hint="eastAsia"/>
          <w:sz w:val="32"/>
          <w:szCs w:val="32"/>
        </w:rPr>
        <w:t>广泛推行绿色低碳生产，形成绿色、高效的现代农业生产体系；壮大经营主体发展能级，加大招商引资力度，打造一批具有核心竞争力的产业领军企业，建设专业化、多元化的现代农业经营体系；深化农业先进技术应用，加强优质种源研发，打造技术创新平台，强化科技赋能的现代农业发展体系；依托内外部资源构建域外农场集成能力，夯实域外农场供沪保障功能；深化垦地双向合作，赋能区域发展。为此，制定域外农场现代农业发展六大行动计划。</w:t>
      </w:r>
    </w:p>
    <w:p>
      <w:pPr>
        <w:pStyle w:val="4"/>
        <w:pageBreakBefore w:val="0"/>
        <w:widowControl w:val="0"/>
        <w:kinsoku/>
        <w:wordWrap/>
        <w:overflowPunct/>
        <w:topLinePunct w:val="0"/>
        <w:autoSpaceDE/>
        <w:autoSpaceDN/>
        <w:bidi w:val="0"/>
        <w:adjustRightInd/>
        <w:snapToGrid/>
        <w:spacing w:line="580" w:lineRule="exact"/>
        <w:ind w:firstLine="643"/>
        <w:textAlignment w:val="auto"/>
      </w:pPr>
      <w:bookmarkStart w:id="26" w:name="_Hlk148032355"/>
      <w:r>
        <w:rPr>
          <w:rFonts w:hint="eastAsia"/>
        </w:rPr>
        <w:t>（一）产业优化增效行动</w:t>
      </w:r>
    </w:p>
    <w:p>
      <w:pPr>
        <w:pageBreakBefore w:val="0"/>
        <w:widowControl w:val="0"/>
        <w:kinsoku/>
        <w:wordWrap/>
        <w:overflowPunct/>
        <w:topLinePunct w:val="0"/>
        <w:autoSpaceDE/>
        <w:autoSpaceDN/>
        <w:bidi w:val="0"/>
        <w:adjustRightInd/>
        <w:snapToGrid/>
        <w:spacing w:line="580" w:lineRule="exact"/>
        <w:ind w:firstLine="602"/>
        <w:textAlignment w:val="auto"/>
        <w:rPr>
          <w:sz w:val="32"/>
          <w:szCs w:val="32"/>
        </w:rPr>
      </w:pPr>
      <w:r>
        <w:rPr>
          <w:rFonts w:hint="eastAsia"/>
          <w:b/>
          <w:bCs/>
          <w:sz w:val="32"/>
          <w:szCs w:val="32"/>
        </w:rPr>
        <w:t>一是加强生态种养协同。</w:t>
      </w:r>
      <w:r>
        <w:rPr>
          <w:rFonts w:hint="eastAsia" w:cs="Times New Roman"/>
          <w:sz w:val="32"/>
          <w:szCs w:val="32"/>
        </w:rPr>
        <w:t>面向</w:t>
      </w:r>
      <w:r>
        <w:rPr>
          <w:rFonts w:cs="Times New Roman"/>
          <w:sz w:val="32"/>
          <w:szCs w:val="32"/>
        </w:rPr>
        <w:t>上海消费市场</w:t>
      </w:r>
      <w:r>
        <w:rPr>
          <w:rFonts w:hint="eastAsia" w:cs="Times New Roman"/>
          <w:sz w:val="32"/>
          <w:szCs w:val="32"/>
        </w:rPr>
        <w:t>，加强</w:t>
      </w:r>
      <w:r>
        <w:rPr>
          <w:rFonts w:cs="Times New Roman"/>
          <w:sz w:val="32"/>
          <w:szCs w:val="32"/>
        </w:rPr>
        <w:t>跟踪监测，推动</w:t>
      </w:r>
      <w:r>
        <w:rPr>
          <w:rFonts w:hint="eastAsia" w:cs="Times New Roman"/>
          <w:sz w:val="32"/>
          <w:szCs w:val="32"/>
        </w:rPr>
        <w:t>域外农场</w:t>
      </w:r>
      <w:r>
        <w:rPr>
          <w:rFonts w:cs="Times New Roman"/>
          <w:sz w:val="32"/>
          <w:szCs w:val="32"/>
        </w:rPr>
        <w:t>品种更新，引导调减结构性过剩品种生产</w:t>
      </w:r>
      <w:r>
        <w:rPr>
          <w:rFonts w:hint="eastAsia" w:cs="Times New Roman"/>
          <w:sz w:val="32"/>
          <w:szCs w:val="32"/>
        </w:rPr>
        <w:t>，</w:t>
      </w:r>
      <w:r>
        <w:rPr>
          <w:rFonts w:cs="Times New Roman"/>
          <w:sz w:val="32"/>
          <w:szCs w:val="32"/>
        </w:rPr>
        <w:t>实现优质农产品对沪供应多样化、优质化、周年化。</w:t>
      </w:r>
      <w:bookmarkEnd w:id="26"/>
      <w:r>
        <w:rPr>
          <w:rFonts w:hint="eastAsia" w:cs="Times New Roman"/>
          <w:sz w:val="32"/>
          <w:szCs w:val="32"/>
        </w:rPr>
        <w:t>提升种植业效益，优化以商品粮为主的品种结构，稳面积、稳产量，因地制宜发展稻田综合种养模式</w:t>
      </w:r>
      <w:bookmarkStart w:id="27" w:name="_Toc139465021"/>
      <w:bookmarkStart w:id="28" w:name="_Toc30952"/>
      <w:r>
        <w:rPr>
          <w:rFonts w:hint="eastAsia" w:cs="Times New Roman"/>
          <w:sz w:val="32"/>
          <w:szCs w:val="32"/>
        </w:rPr>
        <w:t>；稳步扩大蓝莓种植面积，深化蓝莓品牌建设，辐射带动周边区域；以黄金芽等为主打产品，开展茶树新品种选育，提升茶叶品质。</w:t>
      </w:r>
      <w:r>
        <w:rPr>
          <w:rFonts w:hint="eastAsia"/>
          <w:sz w:val="32"/>
          <w:szCs w:val="32"/>
        </w:rPr>
        <w:t>壮大养殖业规模，贯彻生态健康养殖理念，提升动物疫病综合防控能力，提高精细化、智慧化养殖水平，扩大</w:t>
      </w:r>
      <w:r>
        <w:rPr>
          <w:rFonts w:hAnsi="仿宋_GB2312"/>
          <w:sz w:val="32"/>
          <w:szCs w:val="32"/>
        </w:rPr>
        <w:t>蛋鸡养殖</w:t>
      </w:r>
      <w:r>
        <w:rPr>
          <w:rFonts w:hint="eastAsia" w:hAnsi="仿宋_GB2312"/>
          <w:sz w:val="32"/>
          <w:szCs w:val="32"/>
        </w:rPr>
        <w:t>自营</w:t>
      </w:r>
      <w:r>
        <w:rPr>
          <w:rFonts w:hAnsi="仿宋_GB2312"/>
          <w:sz w:val="32"/>
          <w:szCs w:val="32"/>
        </w:rPr>
        <w:t>规模</w:t>
      </w:r>
      <w:bookmarkEnd w:id="27"/>
      <w:bookmarkEnd w:id="28"/>
      <w:r>
        <w:rPr>
          <w:rFonts w:hint="eastAsia" w:hAnsi="仿宋_GB2312"/>
          <w:sz w:val="32"/>
          <w:szCs w:val="32"/>
        </w:rPr>
        <w:t>、集成规模；</w:t>
      </w:r>
      <w:r>
        <w:rPr>
          <w:rFonts w:hint="eastAsia"/>
          <w:sz w:val="32"/>
          <w:szCs w:val="32"/>
        </w:rPr>
        <w:t>构建高产奶牛核心群，对标国际标准持续提升生产效率；优化生猪生产基础设施，稳步恢复生猪产能；</w:t>
      </w:r>
      <w:r>
        <w:rPr>
          <w:rFonts w:hint="eastAsia" w:hAnsi="仿宋_GB2312"/>
          <w:sz w:val="32"/>
          <w:szCs w:val="32"/>
        </w:rPr>
        <w:t>推广水</w:t>
      </w:r>
      <w:r>
        <w:rPr>
          <w:rFonts w:hint="eastAsia" w:hAnsi="仿宋_GB2312" w:cs="微软雅黑"/>
          <w:sz w:val="32"/>
          <w:szCs w:val="32"/>
        </w:rPr>
        <w:t>产绿</w:t>
      </w:r>
      <w:r>
        <w:rPr>
          <w:rFonts w:hint="eastAsia" w:hAnsi="仿宋_GB2312"/>
          <w:sz w:val="32"/>
          <w:szCs w:val="32"/>
        </w:rPr>
        <w:t>色健康养殖技</w:t>
      </w:r>
      <w:r>
        <w:rPr>
          <w:rFonts w:hint="eastAsia" w:hAnsi="仿宋_GB2312" w:cs="微软雅黑"/>
          <w:sz w:val="32"/>
          <w:szCs w:val="32"/>
        </w:rPr>
        <w:t>术，</w:t>
      </w:r>
      <w:r>
        <w:rPr>
          <w:rFonts w:hint="eastAsia" w:hAnsi="仿宋_GB2312"/>
          <w:sz w:val="32"/>
          <w:szCs w:val="32"/>
        </w:rPr>
        <w:t>深化智能</w:t>
      </w:r>
      <w:r>
        <w:rPr>
          <w:rFonts w:hint="eastAsia" w:hAnsi="仿宋_GB2312" w:cs="微软雅黑"/>
          <w:sz w:val="32"/>
          <w:szCs w:val="32"/>
        </w:rPr>
        <w:t>渔场</w:t>
      </w:r>
      <w:r>
        <w:rPr>
          <w:rFonts w:hint="eastAsia" w:hAnsi="仿宋_GB2312"/>
          <w:sz w:val="32"/>
          <w:szCs w:val="32"/>
        </w:rPr>
        <w:t>建</w:t>
      </w:r>
      <w:r>
        <w:rPr>
          <w:rFonts w:hint="eastAsia" w:hAnsi="仿宋_GB2312" w:cs="微软雅黑"/>
          <w:sz w:val="32"/>
          <w:szCs w:val="32"/>
        </w:rPr>
        <w:t>设，</w:t>
      </w:r>
      <w:r>
        <w:rPr>
          <w:rFonts w:hint="eastAsia"/>
          <w:sz w:val="32"/>
          <w:szCs w:val="32"/>
        </w:rPr>
        <w:t>保障</w:t>
      </w:r>
      <w:r>
        <w:rPr>
          <w:sz w:val="32"/>
          <w:szCs w:val="32"/>
        </w:rPr>
        <w:t>优质安全水产品</w:t>
      </w:r>
      <w:r>
        <w:rPr>
          <w:rFonts w:hint="eastAsia"/>
          <w:sz w:val="32"/>
          <w:szCs w:val="32"/>
        </w:rPr>
        <w:t>持续</w:t>
      </w:r>
      <w:r>
        <w:rPr>
          <w:sz w:val="32"/>
          <w:szCs w:val="32"/>
        </w:rPr>
        <w:t>供给</w:t>
      </w:r>
      <w:r>
        <w:rPr>
          <w:rFonts w:hint="eastAsia"/>
          <w:sz w:val="32"/>
          <w:szCs w:val="32"/>
        </w:rPr>
        <w:t>。</w:t>
      </w:r>
    </w:p>
    <w:p>
      <w:pPr>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eastAsia" w:ascii="楷体" w:hAnsi="楷体" w:eastAsia="楷体" w:cs="楷体"/>
          <w:b/>
          <w:bCs/>
          <w:sz w:val="32"/>
          <w:szCs w:val="32"/>
        </w:rPr>
      </w:pPr>
      <w:r>
        <w:rPr>
          <w:rFonts w:hint="eastAsia" w:ascii="楷体" w:hAnsi="楷体" w:eastAsia="楷体" w:cs="楷体"/>
          <w:b/>
          <w:bCs/>
          <w:sz w:val="32"/>
          <w:szCs w:val="32"/>
        </w:rPr>
        <w:t>表</w:t>
      </w:r>
      <w:r>
        <w:rPr>
          <w:rFonts w:hint="eastAsia" w:ascii="楷体" w:hAnsi="楷体" w:eastAsia="楷体" w:cs="楷体"/>
          <w:b/>
          <w:bCs/>
          <w:sz w:val="32"/>
          <w:szCs w:val="32"/>
          <w:lang w:val="en-US" w:eastAsia="zh-CN"/>
        </w:rPr>
        <w:t xml:space="preserve">2  </w:t>
      </w:r>
      <w:r>
        <w:rPr>
          <w:rFonts w:hint="eastAsia" w:ascii="楷体" w:hAnsi="楷体" w:eastAsia="楷体" w:cs="楷体"/>
          <w:b/>
          <w:bCs/>
          <w:sz w:val="32"/>
          <w:szCs w:val="32"/>
        </w:rPr>
        <w:t>域外农场生态种养核心产能指标</w:t>
      </w:r>
    </w:p>
    <w:tbl>
      <w:tblPr>
        <w:tblStyle w:val="19"/>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98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产业</w:t>
            </w:r>
          </w:p>
        </w:tc>
        <w:tc>
          <w:tcPr>
            <w:tcW w:w="7229" w:type="dxa"/>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目标要求（2030年）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粮食</w:t>
            </w:r>
          </w:p>
        </w:tc>
        <w:tc>
          <w:tcPr>
            <w:tcW w:w="7229" w:type="dxa"/>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年生产面积保持在27万亩次，产量不低于14.5万吨。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蛋鸡</w:t>
            </w:r>
          </w:p>
        </w:tc>
        <w:tc>
          <w:tcPr>
            <w:tcW w:w="7229" w:type="dxa"/>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养殖规模达到200万羽（含育雏），鲜鸡蛋年产量不低于1.5万吨。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奶牛</w:t>
            </w:r>
          </w:p>
        </w:tc>
        <w:tc>
          <w:tcPr>
            <w:tcW w:w="7229" w:type="dxa"/>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成乳牛单产达到13吨，生鲜乳产量不低于18万吨。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生猪</w:t>
            </w:r>
          </w:p>
        </w:tc>
        <w:tc>
          <w:tcPr>
            <w:tcW w:w="7229" w:type="dxa"/>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生猪出栏量达到100万头。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水产</w:t>
            </w:r>
          </w:p>
        </w:tc>
        <w:tc>
          <w:tcPr>
            <w:tcW w:w="7229" w:type="dxa"/>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水产绿色健康养殖比重超过80%，水产养殖尾水治理覆盖率达到60%，淡水鱼产量不低于3万吨。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蓝莓</w:t>
            </w:r>
          </w:p>
        </w:tc>
        <w:tc>
          <w:tcPr>
            <w:tcW w:w="7229" w:type="dxa"/>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通过技术支持带动辐射周边区域形成万亩蓝莓生产布局。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茶叶</w:t>
            </w:r>
          </w:p>
        </w:tc>
        <w:tc>
          <w:tcPr>
            <w:tcW w:w="7229" w:type="dxa"/>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推进万亩高标准核心茶园建设。</w:t>
            </w:r>
          </w:p>
        </w:tc>
      </w:tr>
    </w:tbl>
    <w:p>
      <w:pPr>
        <w:pageBreakBefore w:val="0"/>
        <w:widowControl w:val="0"/>
        <w:kinsoku/>
        <w:wordWrap/>
        <w:overflowPunct/>
        <w:topLinePunct w:val="0"/>
        <w:autoSpaceDE/>
        <w:autoSpaceDN/>
        <w:bidi w:val="0"/>
        <w:adjustRightInd/>
        <w:snapToGrid/>
        <w:spacing w:line="580" w:lineRule="exact"/>
        <w:ind w:left="0" w:leftChars="0" w:firstLine="643" w:firstLineChars="200"/>
        <w:textAlignment w:val="auto"/>
        <w:rPr>
          <w:sz w:val="32"/>
          <w:szCs w:val="32"/>
        </w:rPr>
      </w:pPr>
      <w:r>
        <w:rPr>
          <w:rFonts w:hint="eastAsia"/>
          <w:b/>
          <w:bCs/>
          <w:sz w:val="32"/>
          <w:szCs w:val="32"/>
        </w:rPr>
        <w:t>二是积极布局农业加工。</w:t>
      </w:r>
      <w:r>
        <w:rPr>
          <w:rFonts w:hint="eastAsia"/>
          <w:sz w:val="32"/>
          <w:szCs w:val="32"/>
        </w:rPr>
        <w:t>大力发展大宗农产品产地初加工和精深加工，依托光明食品产业园及域外农场周边区域，积极落地农业加工项目。提升稻米加工工艺水平，研究开发稻米深加工产品。开展蛋液、蛋粉、功能性鸡蛋等蛋类产品加工。布局现代化屠宰加工厂，推进低温保活、分割、冷冻、干制品等初加工，扩大功能性肉制品、鱼制品等生产规模。积极向蓝莓果汁、果酒、茶叶功能饮料、茶食品等深加工领域拓展。壮大发展中央厨房等新业态。</w:t>
      </w:r>
    </w:p>
    <w:p>
      <w:pPr>
        <w:pageBreakBefore w:val="0"/>
        <w:widowControl w:val="0"/>
        <w:kinsoku/>
        <w:wordWrap/>
        <w:overflowPunct/>
        <w:topLinePunct w:val="0"/>
        <w:autoSpaceDE/>
        <w:autoSpaceDN/>
        <w:bidi w:val="0"/>
        <w:adjustRightInd/>
        <w:snapToGrid/>
        <w:spacing w:line="580" w:lineRule="exact"/>
        <w:ind w:firstLine="602"/>
        <w:textAlignment w:val="auto"/>
        <w:rPr>
          <w:rFonts w:hint="eastAsia"/>
          <w:sz w:val="32"/>
          <w:szCs w:val="32"/>
        </w:rPr>
      </w:pPr>
      <w:r>
        <w:rPr>
          <w:rFonts w:hint="eastAsia"/>
          <w:b/>
          <w:bCs/>
          <w:sz w:val="32"/>
          <w:szCs w:val="32"/>
        </w:rPr>
        <w:t>三是延伸拓展农业服务。</w:t>
      </w:r>
      <w:r>
        <w:rPr>
          <w:rFonts w:hint="eastAsia"/>
          <w:sz w:val="32"/>
          <w:szCs w:val="32"/>
        </w:rPr>
        <w:t>推进域外农场及周边区域开展农产品产地市场、集散地市场、冷冻仓储中心、物流配送中心建设，完善产地流通体系。优化农田托管、种质资源、农资供给、物质装备、市场营销、供需信息等社会化服务体系。充分利用农田、菜田、果园、茶园、智慧养殖基地、生态林地、水库等资源，发展全域生态农旅经济，为农旅康养产业发展筑牢生态底板，促进生产、教育、旅游、休闲、展销、康养等多元化产业融合发展。</w:t>
      </w:r>
    </w:p>
    <w:bookmarkEnd w:id="23"/>
    <w:p>
      <w:pPr>
        <w:pStyle w:val="4"/>
        <w:pageBreakBefore w:val="0"/>
        <w:widowControl w:val="0"/>
        <w:kinsoku/>
        <w:wordWrap/>
        <w:overflowPunct/>
        <w:topLinePunct w:val="0"/>
        <w:autoSpaceDE/>
        <w:autoSpaceDN/>
        <w:bidi w:val="0"/>
        <w:adjustRightInd/>
        <w:snapToGrid/>
        <w:spacing w:line="580" w:lineRule="exact"/>
        <w:ind w:firstLine="643"/>
        <w:textAlignment w:val="auto"/>
      </w:pPr>
      <w:bookmarkStart w:id="29" w:name="_Toc1196"/>
      <w:bookmarkStart w:id="30" w:name="_Hlk146218276"/>
      <w:r>
        <w:rPr>
          <w:rFonts w:hint="eastAsia"/>
        </w:rPr>
        <w:t>（二）绿色生产提质行动</w:t>
      </w:r>
    </w:p>
    <w:bookmarkEnd w:id="29"/>
    <w:p>
      <w:pPr>
        <w:pageBreakBefore w:val="0"/>
        <w:widowControl w:val="0"/>
        <w:kinsoku/>
        <w:wordWrap/>
        <w:overflowPunct/>
        <w:topLinePunct w:val="0"/>
        <w:autoSpaceDE/>
        <w:autoSpaceDN/>
        <w:bidi w:val="0"/>
        <w:adjustRightInd/>
        <w:snapToGrid/>
        <w:spacing w:line="580" w:lineRule="exact"/>
        <w:ind w:firstLine="602"/>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一是强化农业生产基础设施。</w:t>
      </w:r>
      <w:r>
        <w:rPr>
          <w:rFonts w:hint="eastAsia" w:ascii="仿宋_GB2312" w:hAnsi="仿宋_GB2312" w:eastAsia="仿宋_GB2312" w:cs="仿宋_GB2312"/>
          <w:sz w:val="32"/>
          <w:szCs w:val="32"/>
        </w:rPr>
        <w:t>推进生态型高标准农田全覆盖，支持已建高标准农田提质升级，有序推进未建农田开展生态型高标准农田建设。推动用地与养地相结合，做好耕地质量保护与提升，通过秸秆还田、绿肥轮作、种养结合等方式持续提高土壤肥力，增强粮田综合生产能力。开展粮食仓储设施共享共建和统筹利用，域外农场及周边区域粮食储备仓容达到120万吨。加快建设宜机化果园、茶园，建设高产稳产、抗灾能力强的高标准特色作物生产基地。围绕设施建造标准化、设施构型宜机化，加速推动畜禽水产养殖老旧、低效设施设备改造升级，合理加大生态环保设施投入。</w:t>
      </w:r>
    </w:p>
    <w:p>
      <w:pPr>
        <w:pageBreakBefore w:val="0"/>
        <w:widowControl w:val="0"/>
        <w:kinsoku/>
        <w:wordWrap/>
        <w:overflowPunct/>
        <w:topLinePunct w:val="0"/>
        <w:autoSpaceDE/>
        <w:autoSpaceDN/>
        <w:bidi w:val="0"/>
        <w:adjustRightInd/>
        <w:snapToGrid/>
        <w:spacing w:line="580" w:lineRule="exact"/>
        <w:ind w:firstLine="602"/>
        <w:textAlignment w:val="auto"/>
        <w:rPr>
          <w:rFonts w:hint="eastAsia"/>
        </w:rPr>
      </w:pPr>
      <w:r>
        <w:rPr>
          <w:rFonts w:hint="eastAsia" w:ascii="仿宋_GB2312" w:hAnsi="仿宋_GB2312" w:eastAsia="仿宋_GB2312" w:cs="仿宋_GB2312"/>
          <w:b/>
          <w:bCs/>
          <w:sz w:val="32"/>
          <w:szCs w:val="32"/>
        </w:rPr>
        <w:t>二是广泛推行绿色低碳生产。</w:t>
      </w:r>
      <w:r>
        <w:rPr>
          <w:rFonts w:hint="eastAsia" w:ascii="仿宋_GB2312" w:hAnsi="仿宋_GB2312" w:eastAsia="仿宋_GB2312" w:cs="仿宋_GB2312"/>
          <w:sz w:val="32"/>
          <w:szCs w:val="32"/>
        </w:rPr>
        <w:t>科学实施投入品减量行动，推广绿色投入品，推进有机肥替代化肥，集成推广科技施肥技术、生物防治、物理防治等绿色防控技术。提高农业用水效率，推广节水技术，优化稻田水分灌溉管理。推广绿色种养殖生产方式，降低稻田甲烷排放、畜禽养殖甲烷和氧化亚氮排放。支持域外农场开展绿色有机地理标志农产品认证，形成一批认证产品，粮食绿色有机认证率保持在95%以上，持续提高地产绿色优质农产品占比。</w:t>
      </w:r>
    </w:p>
    <w:p>
      <w:pPr>
        <w:pageBreakBefore w:val="0"/>
        <w:widowControl w:val="0"/>
        <w:kinsoku/>
        <w:wordWrap/>
        <w:overflowPunct/>
        <w:topLinePunct w:val="0"/>
        <w:autoSpaceDE/>
        <w:autoSpaceDN/>
        <w:bidi w:val="0"/>
        <w:adjustRightInd/>
        <w:snapToGrid/>
        <w:spacing w:line="580" w:lineRule="exact"/>
        <w:ind w:firstLine="602"/>
        <w:textAlignment w:val="auto"/>
        <w:rPr>
          <w:sz w:val="32"/>
          <w:szCs w:val="32"/>
        </w:rPr>
      </w:pPr>
      <w:r>
        <w:rPr>
          <w:rFonts w:hint="eastAsia"/>
          <w:b/>
          <w:bCs/>
          <w:sz w:val="32"/>
          <w:szCs w:val="32"/>
        </w:rPr>
        <w:t>三是加强农业废弃物资源化利用。</w:t>
      </w:r>
      <w:r>
        <w:rPr>
          <w:rFonts w:hint="eastAsia"/>
          <w:sz w:val="32"/>
          <w:szCs w:val="32"/>
        </w:rPr>
        <w:t>开展秸秆综合利用行动，推广秸秆深翻粉碎还田、腐熟有机肥还田等技术，鼓励养殖场利用秸秆发展优质饲料，实现秸秆肥料化、饲料化。推进养殖废弃物资源化利用，严格落实畜禽养殖污染防治要求，加强禽畜粪污资源化利用设施建设，完善田间贮存和输送管网设施、沼气站和有机肥厂等配套设施，加强养殖尾水治理。推进苏北农场加快打造国家级生态农场，推动苏北农场、皖南农场打造若干“水稻+生猪”“水稻+蛋鸡”“水稻+奶牛”“茶园+奶牛”等种养循环示范基地，推进稻渔等综合立体种养创新项目。对畜禽粪污生产量高于域外农场消纳量的部分，与周边种植大户通过协议方式开展就近消纳。</w:t>
      </w:r>
    </w:p>
    <w:p>
      <w:pPr>
        <w:pStyle w:val="4"/>
        <w:pageBreakBefore w:val="0"/>
        <w:widowControl w:val="0"/>
        <w:kinsoku/>
        <w:wordWrap/>
        <w:overflowPunct/>
        <w:topLinePunct w:val="0"/>
        <w:autoSpaceDE/>
        <w:autoSpaceDN/>
        <w:bidi w:val="0"/>
        <w:adjustRightInd/>
        <w:snapToGrid/>
        <w:spacing w:line="580" w:lineRule="exact"/>
        <w:ind w:firstLine="643"/>
        <w:textAlignment w:val="auto"/>
        <w:rPr>
          <w:sz w:val="32"/>
          <w:szCs w:val="32"/>
        </w:rPr>
      </w:pPr>
      <w:bookmarkStart w:id="31" w:name="_Toc15478"/>
      <w:r>
        <w:rPr>
          <w:rFonts w:hint="eastAsia"/>
          <w:sz w:val="32"/>
          <w:szCs w:val="32"/>
        </w:rPr>
        <w:t>（三）经营主体升级行动</w:t>
      </w:r>
    </w:p>
    <w:bookmarkEnd w:id="31"/>
    <w:p>
      <w:pPr>
        <w:pageBreakBefore w:val="0"/>
        <w:widowControl w:val="0"/>
        <w:kinsoku/>
        <w:wordWrap/>
        <w:overflowPunct/>
        <w:topLinePunct w:val="0"/>
        <w:autoSpaceDE/>
        <w:autoSpaceDN/>
        <w:bidi w:val="0"/>
        <w:adjustRightInd/>
        <w:snapToGrid/>
        <w:spacing w:line="580" w:lineRule="exact"/>
        <w:ind w:firstLine="602"/>
        <w:textAlignment w:val="auto"/>
        <w:rPr>
          <w:rFonts w:hint="eastAsia"/>
          <w:sz w:val="32"/>
          <w:szCs w:val="32"/>
          <w:shd w:val="clear" w:color="auto" w:fill="FFFFFF"/>
        </w:rPr>
      </w:pPr>
      <w:r>
        <w:rPr>
          <w:rFonts w:hint="eastAsia"/>
          <w:b/>
          <w:bCs/>
          <w:sz w:val="32"/>
          <w:szCs w:val="32"/>
          <w:shd w:val="clear" w:color="auto" w:fill="FFFFFF"/>
        </w:rPr>
        <w:t>一是壮大现有产业主体。</w:t>
      </w:r>
      <w:r>
        <w:rPr>
          <w:rFonts w:hint="eastAsia"/>
          <w:sz w:val="32"/>
          <w:szCs w:val="32"/>
          <w:shd w:val="clear" w:color="auto" w:fill="FFFFFF"/>
        </w:rPr>
        <w:t>支持种养殖经营主体实现绿色种养、提升单产效率、畅通营销渠道，推动光明食品集团相关种业企业进入</w:t>
      </w:r>
      <w:r>
        <w:rPr>
          <w:rFonts w:hint="eastAsia"/>
          <w:sz w:val="32"/>
          <w:szCs w:val="32"/>
        </w:rPr>
        <w:t>全国种业五十强、</w:t>
      </w:r>
      <w:r>
        <w:rPr>
          <w:rFonts w:hint="eastAsia"/>
          <w:sz w:val="32"/>
          <w:szCs w:val="32"/>
          <w:shd w:val="clear" w:color="auto" w:fill="FFFFFF"/>
        </w:rPr>
        <w:t>打造1</w:t>
      </w:r>
      <w:r>
        <w:rPr>
          <w:sz w:val="32"/>
          <w:szCs w:val="32"/>
          <w:shd w:val="clear" w:color="auto" w:fill="FFFFFF"/>
        </w:rPr>
        <w:t>-2</w:t>
      </w:r>
      <w:r>
        <w:rPr>
          <w:rFonts w:hint="eastAsia"/>
          <w:sz w:val="32"/>
          <w:szCs w:val="32"/>
          <w:shd w:val="clear" w:color="auto" w:fill="FFFFFF"/>
        </w:rPr>
        <w:t>家农业产业化</w:t>
      </w:r>
      <w:r>
        <w:rPr>
          <w:rFonts w:hint="eastAsia"/>
          <w:sz w:val="32"/>
          <w:szCs w:val="32"/>
          <w:shd w:val="clear" w:color="auto" w:fill="FFFFFF"/>
          <w:lang w:eastAsia="zh-CN"/>
        </w:rPr>
        <w:t>重点</w:t>
      </w:r>
      <w:r>
        <w:rPr>
          <w:rFonts w:hint="eastAsia"/>
          <w:sz w:val="32"/>
          <w:szCs w:val="32"/>
          <w:shd w:val="clear" w:color="auto" w:fill="FFFFFF"/>
        </w:rPr>
        <w:t>龙头企业。支持中央厨房新业态经营主体扩大经营范围、推广经营模式。</w:t>
      </w:r>
      <w:r>
        <w:rPr>
          <w:rFonts w:hint="eastAsia"/>
          <w:sz w:val="32"/>
          <w:szCs w:val="32"/>
        </w:rPr>
        <w:t>与长三角高校、科研院所建立产学合作伙伴关系，持续引进育种繁种、种养殖技术、品牌营销、生产管理等专业人才，培养一批技术创新领军人才和创新团队。大力弘扬农垦精神，加强宣传教育，不断激发干部职工干事创业热情。</w:t>
      </w:r>
    </w:p>
    <w:p>
      <w:pPr>
        <w:pageBreakBefore w:val="0"/>
        <w:widowControl w:val="0"/>
        <w:kinsoku/>
        <w:wordWrap/>
        <w:overflowPunct/>
        <w:topLinePunct w:val="0"/>
        <w:autoSpaceDE/>
        <w:autoSpaceDN/>
        <w:bidi w:val="0"/>
        <w:adjustRightInd/>
        <w:snapToGrid/>
        <w:spacing w:line="580" w:lineRule="exact"/>
        <w:ind w:firstLine="602"/>
        <w:textAlignment w:val="auto"/>
        <w:rPr>
          <w:rFonts w:hint="eastAsia"/>
          <w:sz w:val="32"/>
          <w:szCs w:val="32"/>
        </w:rPr>
      </w:pPr>
      <w:r>
        <w:rPr>
          <w:rFonts w:hint="eastAsia"/>
          <w:b/>
          <w:bCs/>
          <w:sz w:val="32"/>
          <w:szCs w:val="32"/>
        </w:rPr>
        <w:t>二是积极开展项目引入。</w:t>
      </w:r>
      <w:r>
        <w:rPr>
          <w:rFonts w:hint="eastAsia"/>
          <w:kern w:val="0"/>
          <w:sz w:val="32"/>
          <w:szCs w:val="32"/>
        </w:rPr>
        <w:t>支持光明食品集团在域外农场所在地通过控股、参股等形式建设区域主副食品集成加工中心、标准化畜禽屠宰中心、主要农产品产地仓储保鲜设施。</w:t>
      </w:r>
      <w:r>
        <w:rPr>
          <w:rFonts w:hint="eastAsia"/>
          <w:sz w:val="32"/>
          <w:szCs w:val="32"/>
          <w:shd w:val="clear" w:color="auto" w:fill="FFFFFF"/>
        </w:rPr>
        <w:t>支持引入市场化经营主体参与域外农场建设，在</w:t>
      </w:r>
      <w:r>
        <w:rPr>
          <w:rFonts w:hint="eastAsia"/>
          <w:sz w:val="32"/>
          <w:szCs w:val="32"/>
        </w:rPr>
        <w:t>农产品初加工、精深加工、智慧农业、绿色农业等领域引进一批优质企业，推动招商项目落地域外农场及周边区域。鼓励域外农场经营主体根据市场需求、围绕主责主业与外部企业实施强强联合。支持各经营主体通过资产资源整合向生产、加工、仓储、物流、销售一体化发展。</w:t>
      </w:r>
    </w:p>
    <w:p>
      <w:pPr>
        <w:pageBreakBefore w:val="0"/>
        <w:widowControl w:val="0"/>
        <w:kinsoku/>
        <w:wordWrap/>
        <w:overflowPunct/>
        <w:topLinePunct w:val="0"/>
        <w:autoSpaceDE/>
        <w:autoSpaceDN/>
        <w:bidi w:val="0"/>
        <w:adjustRightInd/>
        <w:snapToGrid/>
        <w:spacing w:line="580" w:lineRule="exact"/>
        <w:ind w:firstLine="602"/>
        <w:textAlignment w:val="auto"/>
        <w:rPr>
          <w:sz w:val="32"/>
          <w:szCs w:val="32"/>
        </w:rPr>
      </w:pPr>
      <w:r>
        <w:rPr>
          <w:rFonts w:hint="eastAsia"/>
          <w:b/>
          <w:bCs/>
          <w:sz w:val="32"/>
          <w:szCs w:val="32"/>
        </w:rPr>
        <w:t>三是塑造农场品质形象。</w:t>
      </w:r>
      <w:r>
        <w:rPr>
          <w:rFonts w:hint="eastAsia"/>
          <w:sz w:val="32"/>
          <w:szCs w:val="32"/>
        </w:rPr>
        <w:t>积极参与中国农垦公共品牌建设，融入中国农垦品牌矩阵。用足用好光明食品集团品牌体系，构建完善品牌保护体系，强化农业品牌监管。丰富“大丰仓”品牌、建设“宣州仓”“田园徽州”品牌，集成苏北地区、皖南地区优质农产品。加大域外农场市场营销推广力度，建立专业化、商业化运营团队，推动域外农场产品转型为商品、消费品。加强域外农场与产地区域的营销合作，共同打造产地农产品优品优质形象。</w:t>
      </w:r>
    </w:p>
    <w:p>
      <w:pPr>
        <w:pStyle w:val="4"/>
        <w:pageBreakBefore w:val="0"/>
        <w:widowControl w:val="0"/>
        <w:kinsoku/>
        <w:wordWrap/>
        <w:overflowPunct/>
        <w:topLinePunct w:val="0"/>
        <w:autoSpaceDE/>
        <w:autoSpaceDN/>
        <w:bidi w:val="0"/>
        <w:adjustRightInd/>
        <w:snapToGrid/>
        <w:spacing w:line="580" w:lineRule="exact"/>
        <w:ind w:firstLine="643"/>
        <w:textAlignment w:val="auto"/>
        <w:rPr>
          <w:sz w:val="32"/>
          <w:szCs w:val="32"/>
        </w:rPr>
      </w:pPr>
      <w:r>
        <w:rPr>
          <w:rFonts w:hint="eastAsia"/>
          <w:sz w:val="32"/>
          <w:szCs w:val="32"/>
        </w:rPr>
        <w:t>（四）科技创新增能行动</w:t>
      </w:r>
    </w:p>
    <w:p>
      <w:pPr>
        <w:pageBreakBefore w:val="0"/>
        <w:widowControl w:val="0"/>
        <w:kinsoku/>
        <w:wordWrap/>
        <w:overflowPunct/>
        <w:topLinePunct w:val="0"/>
        <w:autoSpaceDE/>
        <w:autoSpaceDN/>
        <w:bidi w:val="0"/>
        <w:adjustRightInd/>
        <w:snapToGrid/>
        <w:spacing w:line="580" w:lineRule="exact"/>
        <w:ind w:firstLine="602"/>
        <w:textAlignment w:val="auto"/>
        <w:rPr>
          <w:rFonts w:hint="eastAsia" w:cs="Times New Roman"/>
          <w:sz w:val="32"/>
          <w:szCs w:val="32"/>
        </w:rPr>
      </w:pPr>
      <w:r>
        <w:rPr>
          <w:rFonts w:hint="eastAsia"/>
          <w:b/>
          <w:bCs/>
          <w:sz w:val="32"/>
          <w:szCs w:val="32"/>
        </w:rPr>
        <w:t>一是加强优质种源研发。</w:t>
      </w:r>
      <w:r>
        <w:rPr>
          <w:rFonts w:hint="eastAsia"/>
          <w:sz w:val="32"/>
          <w:szCs w:val="32"/>
        </w:rPr>
        <w:t>推进“两减两增”绿色高效水稻育种，联合种业企业、科研院所开展优质水稻选育、小麦联合育种以及玉米育种，持续扩大优质</w:t>
      </w:r>
      <w:r>
        <w:rPr>
          <w:rFonts w:hAnsi="仿宋_GB2312"/>
          <w:sz w:val="32"/>
          <w:szCs w:val="32"/>
        </w:rPr>
        <w:t>种源</w:t>
      </w:r>
      <w:r>
        <w:rPr>
          <w:rFonts w:hint="eastAsia" w:hAnsi="仿宋_GB2312"/>
          <w:sz w:val="32"/>
          <w:szCs w:val="32"/>
        </w:rPr>
        <w:t>推广面积</w:t>
      </w:r>
      <w:r>
        <w:rPr>
          <w:rFonts w:hint="eastAsia"/>
          <w:sz w:val="32"/>
          <w:szCs w:val="32"/>
        </w:rPr>
        <w:t>。深化国家级生猪育种场建设，探索开展“华系”种猪联合育种。创建国家奶牛核心育种场，积极培育适应市场需求的新品种和配套系。提升水产良种繁育场基础设施建设与设备配备水平，加大对</w:t>
      </w:r>
      <w:r>
        <w:rPr>
          <w:rFonts w:hint="eastAsia" w:ascii="微软雅黑" w:hAnsi="微软雅黑" w:eastAsia="微软雅黑" w:cs="微软雅黑"/>
          <w:sz w:val="32"/>
          <w:szCs w:val="32"/>
        </w:rPr>
        <w:t>鮰</w:t>
      </w:r>
      <w:r>
        <w:rPr>
          <w:rFonts w:hint="eastAsia"/>
          <w:sz w:val="32"/>
          <w:szCs w:val="32"/>
        </w:rPr>
        <w:t>鱼苗种自主繁育的研究力度。引导国外优良品种有序引进，提高引种质量。</w:t>
      </w:r>
    </w:p>
    <w:p>
      <w:pPr>
        <w:pageBreakBefore w:val="0"/>
        <w:widowControl w:val="0"/>
        <w:kinsoku/>
        <w:wordWrap/>
        <w:overflowPunct/>
        <w:topLinePunct w:val="0"/>
        <w:autoSpaceDE/>
        <w:autoSpaceDN/>
        <w:bidi w:val="0"/>
        <w:adjustRightInd/>
        <w:snapToGrid/>
        <w:spacing w:line="580" w:lineRule="exact"/>
        <w:ind w:firstLine="602"/>
        <w:textAlignment w:val="auto"/>
        <w:rPr>
          <w:rFonts w:cs="Times New Roman"/>
          <w:sz w:val="32"/>
          <w:szCs w:val="32"/>
        </w:rPr>
      </w:pPr>
      <w:r>
        <w:rPr>
          <w:rFonts w:hint="eastAsia"/>
          <w:b/>
          <w:bCs/>
          <w:sz w:val="32"/>
          <w:szCs w:val="32"/>
        </w:rPr>
        <w:t>二是深化先进科技应用。</w:t>
      </w:r>
      <w:r>
        <w:rPr>
          <w:rFonts w:hint="eastAsia"/>
          <w:sz w:val="32"/>
          <w:szCs w:val="32"/>
        </w:rPr>
        <w:t>推进粮食生产全程机械化，</w:t>
      </w:r>
      <w:r>
        <w:rPr>
          <w:rFonts w:cs="Times New Roman"/>
          <w:sz w:val="32"/>
          <w:szCs w:val="32"/>
        </w:rPr>
        <w:t>大力推广自动驾驶、远程监控、智能控制等技术应用，</w:t>
      </w:r>
      <w:r>
        <w:rPr>
          <w:rFonts w:hint="eastAsia" w:cs="Times New Roman"/>
          <w:sz w:val="32"/>
          <w:szCs w:val="32"/>
        </w:rPr>
        <w:t>打造若干智慧农场示范基地</w:t>
      </w:r>
      <w:r>
        <w:rPr>
          <w:rFonts w:hint="eastAsia"/>
          <w:sz w:val="32"/>
          <w:szCs w:val="32"/>
        </w:rPr>
        <w:t>。建设粮库数字化监管系统，完成4</w:t>
      </w:r>
      <w:r>
        <w:rPr>
          <w:sz w:val="32"/>
          <w:szCs w:val="32"/>
        </w:rPr>
        <w:t>0</w:t>
      </w:r>
      <w:r>
        <w:rPr>
          <w:rFonts w:hint="eastAsia"/>
          <w:sz w:val="32"/>
          <w:szCs w:val="32"/>
        </w:rPr>
        <w:t>万吨存量粮库智慧化改造。</w:t>
      </w:r>
      <w:r>
        <w:rPr>
          <w:sz w:val="32"/>
          <w:szCs w:val="32"/>
        </w:rPr>
        <w:t>推动蓝莓和茶叶生产机械化、智能化</w:t>
      </w:r>
      <w:r>
        <w:rPr>
          <w:rFonts w:hint="eastAsia" w:cs="Times New Roman"/>
          <w:sz w:val="32"/>
          <w:szCs w:val="32"/>
        </w:rPr>
        <w:t>升级，提升</w:t>
      </w:r>
      <w:r>
        <w:rPr>
          <w:rFonts w:cs="Times New Roman"/>
          <w:sz w:val="32"/>
          <w:szCs w:val="32"/>
        </w:rPr>
        <w:t>耕整地、种植、采运、灌溉施肥和环境</w:t>
      </w:r>
      <w:r>
        <w:rPr>
          <w:sz w:val="32"/>
          <w:szCs w:val="32"/>
        </w:rPr>
        <w:t>调控水平</w:t>
      </w:r>
      <w:r>
        <w:rPr>
          <w:rFonts w:hint="eastAsia"/>
          <w:sz w:val="32"/>
          <w:szCs w:val="32"/>
        </w:rPr>
        <w:t>。提升畜禽水产养殖智慧化水平，</w:t>
      </w:r>
      <w:r>
        <w:rPr>
          <w:rFonts w:cs="Times New Roman"/>
          <w:sz w:val="32"/>
          <w:szCs w:val="32"/>
        </w:rPr>
        <w:t>加强养殖工艺、数字化和物联化设施设备的集成配套，</w:t>
      </w:r>
      <w:r>
        <w:rPr>
          <w:rFonts w:hint="eastAsia"/>
          <w:sz w:val="32"/>
          <w:szCs w:val="32"/>
        </w:rPr>
        <w:t>实现环境智能调节、健康监测、疫病防控、粪污处理等全流程高效生产管理。完善农业技术推广服务体系，加强高质高效种植技术、生态安全养殖技术在域外农场的集成示范与推广。</w:t>
      </w:r>
    </w:p>
    <w:p>
      <w:pPr>
        <w:pageBreakBefore w:val="0"/>
        <w:widowControl w:val="0"/>
        <w:kinsoku/>
        <w:wordWrap/>
        <w:overflowPunct/>
        <w:topLinePunct w:val="0"/>
        <w:autoSpaceDE/>
        <w:autoSpaceDN/>
        <w:bidi w:val="0"/>
        <w:adjustRightInd/>
        <w:snapToGrid/>
        <w:spacing w:line="580" w:lineRule="exact"/>
        <w:ind w:firstLine="602"/>
        <w:textAlignment w:val="auto"/>
        <w:rPr>
          <w:rFonts w:hint="eastAsia"/>
          <w:sz w:val="32"/>
          <w:szCs w:val="32"/>
        </w:rPr>
      </w:pPr>
      <w:r>
        <w:rPr>
          <w:rFonts w:hint="eastAsia"/>
          <w:b/>
          <w:bCs/>
          <w:sz w:val="32"/>
          <w:szCs w:val="32"/>
        </w:rPr>
        <w:t>三是打造技术创新平台</w:t>
      </w:r>
      <w:r>
        <w:rPr>
          <w:rFonts w:hint="eastAsia"/>
          <w:sz w:val="32"/>
          <w:szCs w:val="32"/>
        </w:rPr>
        <w:t>。聚焦生物育种、耕地质量、智慧农业、农业机械设备、农业绿色投入品等关键领域，积极参与关键核心技术及产品研发创新。鼓励沪苏皖高等院校、科研院所、技术推广机构与域外农场共建研发创新平台，推动实验站、试验基地等落地农场。支持域外农场与国内外优质育种企业开展多维合作，建立良种试验、扩繁推广等合作基地。与国内外先进装备企业开展合作，推动重点农机装备共同研发及推广应用。</w:t>
      </w:r>
    </w:p>
    <w:p>
      <w:pPr>
        <w:pStyle w:val="4"/>
        <w:pageBreakBefore w:val="0"/>
        <w:widowControl w:val="0"/>
        <w:kinsoku/>
        <w:wordWrap/>
        <w:overflowPunct/>
        <w:topLinePunct w:val="0"/>
        <w:autoSpaceDE/>
        <w:autoSpaceDN/>
        <w:bidi w:val="0"/>
        <w:adjustRightInd/>
        <w:snapToGrid/>
        <w:spacing w:line="580" w:lineRule="exact"/>
        <w:ind w:firstLine="643"/>
        <w:textAlignment w:val="auto"/>
        <w:rPr>
          <w:sz w:val="32"/>
          <w:szCs w:val="32"/>
        </w:rPr>
      </w:pPr>
      <w:r>
        <w:rPr>
          <w:rFonts w:hint="eastAsia"/>
          <w:sz w:val="32"/>
          <w:szCs w:val="32"/>
        </w:rPr>
        <w:t>（五）集成能力筑基行动</w:t>
      </w:r>
    </w:p>
    <w:p>
      <w:pPr>
        <w:pageBreakBefore w:val="0"/>
        <w:widowControl w:val="0"/>
        <w:kinsoku/>
        <w:wordWrap/>
        <w:overflowPunct/>
        <w:topLinePunct w:val="0"/>
        <w:autoSpaceDE/>
        <w:autoSpaceDN/>
        <w:bidi w:val="0"/>
        <w:adjustRightInd/>
        <w:snapToGrid/>
        <w:spacing w:line="580" w:lineRule="exact"/>
        <w:ind w:firstLine="602"/>
        <w:textAlignment w:val="auto"/>
        <w:rPr>
          <w:b/>
          <w:bCs/>
          <w:sz w:val="32"/>
          <w:szCs w:val="32"/>
        </w:rPr>
      </w:pPr>
      <w:r>
        <w:rPr>
          <w:rFonts w:hint="eastAsia"/>
          <w:b/>
          <w:bCs/>
          <w:sz w:val="32"/>
          <w:szCs w:val="32"/>
        </w:rPr>
        <w:t>一是加强内部渠道整合。</w:t>
      </w:r>
      <w:r>
        <w:rPr>
          <w:rFonts w:hint="eastAsia"/>
          <w:kern w:val="0"/>
          <w:sz w:val="32"/>
          <w:szCs w:val="32"/>
        </w:rPr>
        <w:t>整合拓展光明食品集团现有营销渠道，加强域外农场优质农产品与上海市主要农产品批发市场、</w:t>
      </w:r>
      <w:r>
        <w:rPr>
          <w:rFonts w:hint="eastAsia"/>
          <w:sz w:val="32"/>
          <w:szCs w:val="32"/>
        </w:rPr>
        <w:t>学校、机关单位、社区食堂等渠道对接，积极发展电商等新业态、新模式，与线上生鲜平台加强合作。打造苏北农场“大丰仓”、皖南农场“宣州仓”农产品直供平台，形成供沪农产品销售供应体系和支撑保障体系，</w:t>
      </w:r>
      <w:r>
        <w:rPr>
          <w:rFonts w:hint="eastAsia"/>
          <w:kern w:val="0"/>
          <w:sz w:val="32"/>
          <w:szCs w:val="32"/>
        </w:rPr>
        <w:t>提升域外农场主要农产品在上海的市场占有率、</w:t>
      </w:r>
      <w:r>
        <w:rPr>
          <w:rFonts w:hint="eastAsia"/>
          <w:sz w:val="32"/>
          <w:szCs w:val="32"/>
        </w:rPr>
        <w:t>知晓度。</w:t>
      </w:r>
    </w:p>
    <w:p>
      <w:pPr>
        <w:pageBreakBefore w:val="0"/>
        <w:widowControl w:val="0"/>
        <w:kinsoku/>
        <w:wordWrap/>
        <w:overflowPunct/>
        <w:topLinePunct w:val="0"/>
        <w:autoSpaceDE/>
        <w:autoSpaceDN/>
        <w:bidi w:val="0"/>
        <w:adjustRightInd/>
        <w:snapToGrid/>
        <w:spacing w:line="580" w:lineRule="exact"/>
        <w:ind w:firstLine="602"/>
        <w:textAlignment w:val="auto"/>
        <w:rPr>
          <w:sz w:val="32"/>
          <w:szCs w:val="32"/>
          <w:shd w:val="clear" w:color="auto" w:fill="FFFFFF"/>
        </w:rPr>
      </w:pPr>
      <w:r>
        <w:rPr>
          <w:rFonts w:hint="eastAsia"/>
          <w:b/>
          <w:bCs/>
          <w:sz w:val="32"/>
          <w:szCs w:val="32"/>
        </w:rPr>
        <w:t>二是打造若干集成平台。</w:t>
      </w:r>
      <w:r>
        <w:rPr>
          <w:rFonts w:hint="eastAsia"/>
          <w:sz w:val="32"/>
          <w:szCs w:val="32"/>
        </w:rPr>
        <w:t>筛选若干主要农产品供应基地，由域外农场产业经营主体牵头，通过订单化种养殖、产业化联合体、产业联盟等多种形式，建立稳定采购关系，</w:t>
      </w:r>
      <w:r>
        <w:rPr>
          <w:rFonts w:hint="eastAsia"/>
          <w:sz w:val="32"/>
          <w:szCs w:val="32"/>
          <w:shd w:val="clear" w:color="auto" w:fill="FFFFFF"/>
        </w:rPr>
        <w:t>提升应急保供资源调动能力</w:t>
      </w:r>
      <w:r>
        <w:rPr>
          <w:rFonts w:hint="eastAsia"/>
          <w:sz w:val="32"/>
          <w:szCs w:val="32"/>
        </w:rPr>
        <w:t>。</w:t>
      </w:r>
      <w:r>
        <w:rPr>
          <w:rFonts w:hint="eastAsia"/>
          <w:sz w:val="32"/>
          <w:szCs w:val="32"/>
          <w:shd w:val="clear" w:color="auto" w:fill="FFFFFF"/>
        </w:rPr>
        <w:t>探索成立域外农场贸易流通公司，布局建设或并购整合一批产业批发市场、农产品集散中心、食品展销中心，加强与产地流通主体的联动合作，链接上海需求与当地生产。</w:t>
      </w:r>
    </w:p>
    <w:p>
      <w:pPr>
        <w:pageBreakBefore w:val="0"/>
        <w:widowControl w:val="0"/>
        <w:kinsoku/>
        <w:wordWrap/>
        <w:overflowPunct/>
        <w:topLinePunct w:val="0"/>
        <w:autoSpaceDE/>
        <w:autoSpaceDN/>
        <w:bidi w:val="0"/>
        <w:adjustRightInd/>
        <w:snapToGrid/>
        <w:spacing w:line="580" w:lineRule="exact"/>
        <w:ind w:firstLine="602"/>
        <w:textAlignment w:val="auto"/>
        <w:rPr>
          <w:rFonts w:hint="eastAsia"/>
          <w:sz w:val="32"/>
          <w:szCs w:val="32"/>
        </w:rPr>
      </w:pPr>
      <w:r>
        <w:rPr>
          <w:rFonts w:hint="eastAsia"/>
          <w:b/>
          <w:bCs/>
          <w:sz w:val="32"/>
          <w:szCs w:val="32"/>
        </w:rPr>
        <w:t>三是加强外部资源调度。</w:t>
      </w:r>
      <w:r>
        <w:rPr>
          <w:rFonts w:hint="eastAsia"/>
          <w:sz w:val="32"/>
          <w:szCs w:val="32"/>
        </w:rPr>
        <w:t>通过域外农场开展优质品种示范种养殖，带动周边区域面向上海消费需求推进优良品种更新换代。通过品牌带动、先进种养殖技术及生产方式示范应用，带动周边区域提升种养殖水平、产品品质，</w:t>
      </w:r>
      <w:r>
        <w:rPr>
          <w:sz w:val="32"/>
          <w:szCs w:val="32"/>
        </w:rPr>
        <w:t>推动更多优质农产品进入上海市场</w:t>
      </w:r>
      <w:r>
        <w:rPr>
          <w:rFonts w:hint="eastAsia"/>
          <w:sz w:val="32"/>
          <w:szCs w:val="32"/>
        </w:rPr>
        <w:t>。</w:t>
      </w:r>
      <w:r>
        <w:rPr>
          <w:rFonts w:hint="eastAsia"/>
          <w:sz w:val="32"/>
          <w:szCs w:val="32"/>
          <w:shd w:val="clear" w:color="auto" w:fill="FFFFFF"/>
        </w:rPr>
        <w:t>充分利用市场资源，完善物流干线运输和区域配送合作体系，</w:t>
      </w:r>
      <w:r>
        <w:rPr>
          <w:rFonts w:hint="eastAsia"/>
          <w:sz w:val="32"/>
          <w:szCs w:val="32"/>
        </w:rPr>
        <w:t>形成可靠的产地到沪直达冷链物流服务能力</w:t>
      </w:r>
      <w:r>
        <w:rPr>
          <w:rFonts w:hint="eastAsia"/>
          <w:sz w:val="32"/>
          <w:szCs w:val="32"/>
          <w:shd w:val="clear" w:color="auto" w:fill="FFFFFF"/>
        </w:rPr>
        <w:t>。</w:t>
      </w:r>
    </w:p>
    <w:p>
      <w:pPr>
        <w:pStyle w:val="4"/>
        <w:pageBreakBefore w:val="0"/>
        <w:widowControl w:val="0"/>
        <w:kinsoku/>
        <w:wordWrap/>
        <w:overflowPunct/>
        <w:topLinePunct w:val="0"/>
        <w:autoSpaceDE/>
        <w:autoSpaceDN/>
        <w:bidi w:val="0"/>
        <w:adjustRightInd/>
        <w:snapToGrid/>
        <w:spacing w:line="580" w:lineRule="exact"/>
        <w:ind w:firstLine="643"/>
        <w:textAlignment w:val="auto"/>
        <w:rPr>
          <w:sz w:val="32"/>
          <w:szCs w:val="32"/>
        </w:rPr>
      </w:pPr>
      <w:r>
        <w:rPr>
          <w:rFonts w:hint="eastAsia"/>
          <w:sz w:val="32"/>
          <w:szCs w:val="32"/>
        </w:rPr>
        <w:t>（六）垦地合作协同行动</w:t>
      </w:r>
    </w:p>
    <w:p>
      <w:pPr>
        <w:pageBreakBefore w:val="0"/>
        <w:widowControl w:val="0"/>
        <w:kinsoku/>
        <w:wordWrap/>
        <w:overflowPunct/>
        <w:topLinePunct w:val="0"/>
        <w:autoSpaceDE/>
        <w:autoSpaceDN/>
        <w:bidi w:val="0"/>
        <w:adjustRightInd/>
        <w:snapToGrid/>
        <w:spacing w:line="580" w:lineRule="exact"/>
        <w:ind w:firstLine="602"/>
        <w:textAlignment w:val="auto"/>
        <w:rPr>
          <w:rFonts w:hint="eastAsia"/>
          <w:sz w:val="32"/>
          <w:szCs w:val="32"/>
          <w:shd w:val="clear" w:color="auto" w:fill="FFFFFF"/>
        </w:rPr>
      </w:pPr>
      <w:r>
        <w:rPr>
          <w:rFonts w:hint="eastAsia"/>
          <w:b/>
          <w:bCs/>
          <w:sz w:val="32"/>
          <w:szCs w:val="32"/>
        </w:rPr>
        <w:t>一是协调优化发展空间。</w:t>
      </w:r>
      <w:r>
        <w:rPr>
          <w:rFonts w:cs="Times New Roman"/>
          <w:sz w:val="32"/>
          <w:szCs w:val="32"/>
        </w:rPr>
        <w:t>推动</w:t>
      </w:r>
      <w:r>
        <w:rPr>
          <w:rFonts w:hint="eastAsia" w:cs="Times New Roman"/>
          <w:sz w:val="32"/>
          <w:szCs w:val="32"/>
        </w:rPr>
        <w:t>域外</w:t>
      </w:r>
      <w:r>
        <w:rPr>
          <w:rFonts w:cs="Times New Roman"/>
          <w:sz w:val="32"/>
          <w:szCs w:val="32"/>
        </w:rPr>
        <w:t>农场与周边乡镇的基础设</w:t>
      </w:r>
      <w:r>
        <w:rPr>
          <w:rFonts w:hint="eastAsia"/>
          <w:sz w:val="32"/>
          <w:szCs w:val="32"/>
          <w:shd w:val="clear" w:color="auto" w:fill="FFFFFF"/>
        </w:rPr>
        <w:t>施建设统筹规划、设计，重点改善农场道路、水利、通信等基础设施条件。将域外农场区域纳入当地国土空间总体规划统一布局，保障域外农场发展空间。</w:t>
      </w:r>
      <w:r>
        <w:rPr>
          <w:rFonts w:hint="eastAsia"/>
          <w:kern w:val="0"/>
          <w:sz w:val="32"/>
          <w:szCs w:val="32"/>
        </w:rPr>
        <w:t>引导上海市产业项目在域外农场所在地落地布局，</w:t>
      </w:r>
      <w:r>
        <w:rPr>
          <w:rFonts w:hint="eastAsia"/>
          <w:sz w:val="32"/>
          <w:szCs w:val="32"/>
          <w:shd w:val="clear" w:color="auto" w:fill="FFFFFF"/>
        </w:rPr>
        <w:t>推动农产品加工功能向当地工业区集中。优化域外农场种养加产业分区，结合资源禀赋合理布局。</w:t>
      </w:r>
    </w:p>
    <w:p>
      <w:pPr>
        <w:pageBreakBefore w:val="0"/>
        <w:widowControl w:val="0"/>
        <w:kinsoku/>
        <w:wordWrap/>
        <w:overflowPunct/>
        <w:topLinePunct w:val="0"/>
        <w:autoSpaceDE/>
        <w:autoSpaceDN/>
        <w:bidi w:val="0"/>
        <w:adjustRightInd/>
        <w:snapToGrid/>
        <w:spacing w:line="580" w:lineRule="exact"/>
        <w:ind w:firstLine="602"/>
        <w:textAlignment w:val="auto"/>
        <w:rPr>
          <w:b/>
          <w:bCs/>
          <w:sz w:val="32"/>
          <w:szCs w:val="32"/>
        </w:rPr>
      </w:pPr>
      <w:r>
        <w:rPr>
          <w:rFonts w:hint="eastAsia"/>
          <w:b/>
          <w:bCs/>
          <w:sz w:val="32"/>
          <w:szCs w:val="32"/>
        </w:rPr>
        <w:t>二是加强双向服务功能。</w:t>
      </w:r>
      <w:r>
        <w:rPr>
          <w:rFonts w:hint="eastAsia"/>
          <w:sz w:val="32"/>
          <w:szCs w:val="32"/>
          <w:shd w:val="clear" w:color="auto" w:fill="FFFFFF"/>
        </w:rPr>
        <w:t>支持域外农场经营主体完善农业社会化服务体系，提升全产业链服务水平，</w:t>
      </w:r>
      <w:r>
        <w:rPr>
          <w:rFonts w:hint="eastAsia"/>
          <w:sz w:val="32"/>
          <w:szCs w:val="32"/>
        </w:rPr>
        <w:t>以社会化服务示范带动地方提高单产水平</w:t>
      </w:r>
      <w:r>
        <w:rPr>
          <w:rFonts w:hint="eastAsia"/>
          <w:sz w:val="32"/>
          <w:szCs w:val="32"/>
          <w:shd w:val="clear" w:color="auto" w:fill="FFFFFF"/>
        </w:rPr>
        <w:t>，在有条件的村、镇、县整建制开展农业社会化服务，打造垦地农业社会化服务示范样板。</w:t>
      </w:r>
      <w:r>
        <w:rPr>
          <w:rFonts w:hint="eastAsia"/>
          <w:sz w:val="32"/>
          <w:szCs w:val="32"/>
        </w:rPr>
        <w:t>整合周边区域农田资源，开展土地承包经营权流转，展示推广先进生产技术及模式。对当地可提供的社会化服务，支持域外农场经营主体与当地服务主体开展合作，推动垦地双向资源共享。</w:t>
      </w:r>
    </w:p>
    <w:p>
      <w:pPr>
        <w:pageBreakBefore w:val="0"/>
        <w:widowControl w:val="0"/>
        <w:kinsoku/>
        <w:wordWrap/>
        <w:overflowPunct/>
        <w:topLinePunct w:val="0"/>
        <w:autoSpaceDE/>
        <w:autoSpaceDN/>
        <w:bidi w:val="0"/>
        <w:adjustRightInd/>
        <w:snapToGrid/>
        <w:spacing w:line="580" w:lineRule="exact"/>
        <w:ind w:firstLine="602"/>
        <w:textAlignment w:val="auto"/>
        <w:rPr>
          <w:rFonts w:hint="eastAsia"/>
          <w:sz w:val="32"/>
          <w:szCs w:val="32"/>
          <w:shd w:val="clear" w:color="auto" w:fill="FFFFFF"/>
        </w:rPr>
      </w:pPr>
      <w:r>
        <w:rPr>
          <w:rFonts w:hint="eastAsia"/>
          <w:b/>
          <w:bCs/>
          <w:sz w:val="32"/>
          <w:szCs w:val="32"/>
        </w:rPr>
        <w:t>三是加速产业融合发展。</w:t>
      </w:r>
      <w:r>
        <w:rPr>
          <w:rFonts w:hint="eastAsia"/>
          <w:sz w:val="32"/>
          <w:szCs w:val="32"/>
          <w:shd w:val="clear" w:color="auto" w:fill="FFFFFF"/>
        </w:rPr>
        <w:t>积极融入长三角一体化建设，鼓励域外农场与当地政府、周边村镇共建示范基地、共组专家队伍、共谋区域发展、共管产业集群，构建长期稳定、互利共赢的合作关系。推进域外农场与江苏省、安徽省农垦国有农场开展垦垦合作。深化“一地六县”产业合作区建设，加快打造绿色农产品生产加工供应基地、生态绿色康养基地。深化</w:t>
      </w:r>
      <w:r>
        <w:rPr>
          <w:rFonts w:ascii="仿宋_GB2312" w:hAnsi="仿宋_GB2312"/>
          <w:sz w:val="32"/>
          <w:szCs w:val="32"/>
        </w:rPr>
        <w:t>“一园一厨五基地”</w:t>
      </w:r>
      <w:r>
        <w:rPr>
          <w:rFonts w:hint="eastAsia" w:ascii="仿宋_GB2312" w:hAnsi="仿宋_GB2312"/>
          <w:sz w:val="32"/>
          <w:szCs w:val="32"/>
        </w:rPr>
        <w:t>建设，做强农产品精深加工功能。</w:t>
      </w:r>
      <w:r>
        <w:rPr>
          <w:rFonts w:hint="eastAsia"/>
          <w:sz w:val="32"/>
          <w:szCs w:val="32"/>
          <w:shd w:val="clear" w:color="auto" w:fill="FFFFFF"/>
        </w:rPr>
        <w:t>支持域外农场</w:t>
      </w:r>
      <w:r>
        <w:rPr>
          <w:rFonts w:hint="eastAsia"/>
          <w:sz w:val="32"/>
          <w:szCs w:val="32"/>
        </w:rPr>
        <w:t>以互派人才培养锻炼等形式与域外农场所在地持续深化合作。</w:t>
      </w:r>
    </w:p>
    <w:bookmarkEnd w:id="30"/>
    <w:p>
      <w:pPr>
        <w:pStyle w:val="3"/>
        <w:pageBreakBefore w:val="0"/>
        <w:widowControl w:val="0"/>
        <w:kinsoku/>
        <w:wordWrap/>
        <w:overflowPunct/>
        <w:topLinePunct w:val="0"/>
        <w:autoSpaceDE/>
        <w:autoSpaceDN/>
        <w:bidi w:val="0"/>
        <w:adjustRightInd/>
        <w:snapToGrid/>
        <w:spacing w:line="580" w:lineRule="exact"/>
        <w:ind w:firstLine="602"/>
        <w:textAlignment w:val="auto"/>
        <w:rPr>
          <w:sz w:val="32"/>
          <w:szCs w:val="32"/>
        </w:rPr>
      </w:pPr>
      <w:bookmarkStart w:id="32" w:name="_Toc147840339"/>
      <w:bookmarkStart w:id="33" w:name="_Toc9899"/>
      <w:r>
        <w:rPr>
          <w:rFonts w:hint="eastAsia"/>
          <w:sz w:val="32"/>
          <w:szCs w:val="32"/>
        </w:rPr>
        <w:t>四、保障措施</w:t>
      </w:r>
      <w:bookmarkEnd w:id="32"/>
      <w:bookmarkEnd w:id="33"/>
    </w:p>
    <w:p>
      <w:pPr>
        <w:pStyle w:val="4"/>
        <w:pageBreakBefore w:val="0"/>
        <w:widowControl w:val="0"/>
        <w:kinsoku/>
        <w:wordWrap/>
        <w:overflowPunct/>
        <w:topLinePunct w:val="0"/>
        <w:autoSpaceDE/>
        <w:autoSpaceDN/>
        <w:bidi w:val="0"/>
        <w:adjustRightInd/>
        <w:snapToGrid/>
        <w:spacing w:line="580" w:lineRule="exact"/>
        <w:ind w:firstLine="643"/>
        <w:textAlignment w:val="auto"/>
        <w:rPr>
          <w:sz w:val="32"/>
          <w:szCs w:val="32"/>
        </w:rPr>
      </w:pPr>
      <w:bookmarkStart w:id="34" w:name="_Toc29318"/>
      <w:bookmarkStart w:id="35" w:name="_Toc139465059"/>
      <w:bookmarkStart w:id="36" w:name="_Toc147840340"/>
      <w:r>
        <w:rPr>
          <w:rFonts w:hint="eastAsia"/>
          <w:sz w:val="32"/>
          <w:szCs w:val="32"/>
        </w:rPr>
        <w:t>（一）</w:t>
      </w:r>
      <w:bookmarkEnd w:id="34"/>
      <w:bookmarkEnd w:id="35"/>
      <w:bookmarkEnd w:id="36"/>
      <w:r>
        <w:rPr>
          <w:rFonts w:hint="eastAsia"/>
          <w:sz w:val="32"/>
          <w:szCs w:val="32"/>
        </w:rPr>
        <w:t>加强组织领导</w:t>
      </w:r>
    </w:p>
    <w:p>
      <w:pPr>
        <w:pageBreakBefore w:val="0"/>
        <w:widowControl w:val="0"/>
        <w:kinsoku/>
        <w:wordWrap/>
        <w:overflowPunct/>
        <w:topLinePunct w:val="0"/>
        <w:autoSpaceDE/>
        <w:autoSpaceDN/>
        <w:bidi w:val="0"/>
        <w:adjustRightInd/>
        <w:snapToGrid/>
        <w:spacing w:line="580" w:lineRule="exact"/>
        <w:ind w:firstLine="600"/>
        <w:textAlignment w:val="auto"/>
        <w:rPr>
          <w:sz w:val="32"/>
          <w:szCs w:val="32"/>
        </w:rPr>
      </w:pPr>
      <w:bookmarkStart w:id="37" w:name="_Toc139465060"/>
      <w:bookmarkStart w:id="38" w:name="_Toc5795"/>
      <w:r>
        <w:rPr>
          <w:rFonts w:hint="eastAsia"/>
          <w:color w:val="000000"/>
          <w:sz w:val="32"/>
          <w:szCs w:val="32"/>
          <w:shd w:val="clear" w:color="auto" w:fill="FFFFFF"/>
        </w:rPr>
        <w:t>市域外农场管理办公室将专项规划纳入域外农场发展规划和年度计划，并加强协调督促和跟踪评估工作，积极支持和推动行业主管部门建立跨区域政府协同管理工作机制。</w:t>
      </w:r>
      <w:bookmarkStart w:id="39" w:name="_Hlk150786803"/>
      <w:r>
        <w:rPr>
          <w:rFonts w:hint="eastAsia"/>
          <w:sz w:val="32"/>
          <w:szCs w:val="32"/>
        </w:rPr>
        <w:t>建立健全垦地融合发展合理利益分配机制，</w:t>
      </w:r>
      <w:bookmarkEnd w:id="39"/>
      <w:r>
        <w:rPr>
          <w:rFonts w:hint="eastAsia"/>
          <w:sz w:val="32"/>
          <w:szCs w:val="32"/>
        </w:rPr>
        <w:t>推动招商落地税收与当地土地、人才、资金等要素支持政策挂钩机制。市商务委加强对域外农场农产品流通的指导。</w:t>
      </w:r>
      <w:r>
        <w:rPr>
          <w:rFonts w:hint="eastAsia"/>
          <w:color w:val="000000"/>
          <w:sz w:val="32"/>
          <w:szCs w:val="32"/>
          <w:shd w:val="clear" w:color="auto" w:fill="FFFFFF"/>
        </w:rPr>
        <w:t>市</w:t>
      </w:r>
      <w:r>
        <w:rPr>
          <w:rFonts w:hint="eastAsia"/>
          <w:sz w:val="32"/>
          <w:szCs w:val="32"/>
        </w:rPr>
        <w:t>农业农村部门开展对域外农场现代农业发展的统筹指导、考核评估等工作。</w:t>
      </w:r>
    </w:p>
    <w:p>
      <w:pPr>
        <w:pStyle w:val="4"/>
        <w:pageBreakBefore w:val="0"/>
        <w:widowControl w:val="0"/>
        <w:kinsoku/>
        <w:wordWrap/>
        <w:overflowPunct/>
        <w:topLinePunct w:val="0"/>
        <w:autoSpaceDE/>
        <w:autoSpaceDN/>
        <w:bidi w:val="0"/>
        <w:adjustRightInd/>
        <w:snapToGrid/>
        <w:spacing w:line="580" w:lineRule="exact"/>
        <w:ind w:firstLine="643"/>
        <w:textAlignment w:val="auto"/>
        <w:rPr>
          <w:sz w:val="32"/>
          <w:szCs w:val="32"/>
        </w:rPr>
      </w:pPr>
      <w:r>
        <w:rPr>
          <w:rFonts w:hint="eastAsia"/>
          <w:sz w:val="32"/>
          <w:szCs w:val="32"/>
        </w:rPr>
        <w:t>（二）加大政策支持</w:t>
      </w:r>
    </w:p>
    <w:bookmarkEnd w:id="37"/>
    <w:bookmarkEnd w:id="38"/>
    <w:p>
      <w:pPr>
        <w:pageBreakBefore w:val="0"/>
        <w:widowControl w:val="0"/>
        <w:kinsoku/>
        <w:wordWrap/>
        <w:overflowPunct/>
        <w:topLinePunct w:val="0"/>
        <w:autoSpaceDE/>
        <w:autoSpaceDN/>
        <w:bidi w:val="0"/>
        <w:adjustRightInd/>
        <w:snapToGrid/>
        <w:spacing w:line="580" w:lineRule="exact"/>
        <w:ind w:firstLine="600"/>
        <w:textAlignment w:val="auto"/>
        <w:rPr>
          <w:sz w:val="32"/>
          <w:szCs w:val="32"/>
        </w:rPr>
      </w:pPr>
      <w:bookmarkStart w:id="40" w:name="_Toc10498"/>
      <w:bookmarkStart w:id="41" w:name="_Toc139465062"/>
      <w:bookmarkStart w:id="42" w:name="_Toc139465061"/>
      <w:bookmarkStart w:id="43" w:name="_Toc29298"/>
      <w:r>
        <w:rPr>
          <w:rFonts w:hint="eastAsia"/>
          <w:sz w:val="32"/>
          <w:szCs w:val="32"/>
        </w:rPr>
        <w:t>对域外农场农业科技创新、数字农业、产业融合、农业绿色发展等领域予以财政项目资金扶持。</w:t>
      </w:r>
      <w:bookmarkEnd w:id="40"/>
      <w:bookmarkEnd w:id="41"/>
      <w:r>
        <w:rPr>
          <w:rFonts w:hint="eastAsia"/>
          <w:sz w:val="32"/>
          <w:szCs w:val="32"/>
        </w:rPr>
        <w:t>发挥政府性融资担保作用，探索符合域外农场特点的农业保险创新产品。积极推进农垦国有土地使用权确权登记发证工作。鼓励域外农场通过当地土地流转等方式对零散破碎土地进行集中布局调整，改善土地生产条件。稳步推进域外农场社会职能改革。域外农场人才落户参照临港新片区相关政策执行。</w:t>
      </w:r>
    </w:p>
    <w:p>
      <w:pPr>
        <w:pStyle w:val="4"/>
        <w:pageBreakBefore w:val="0"/>
        <w:widowControl w:val="0"/>
        <w:kinsoku/>
        <w:wordWrap/>
        <w:overflowPunct/>
        <w:topLinePunct w:val="0"/>
        <w:autoSpaceDE/>
        <w:autoSpaceDN/>
        <w:bidi w:val="0"/>
        <w:adjustRightInd/>
        <w:snapToGrid/>
        <w:spacing w:line="580" w:lineRule="exact"/>
        <w:ind w:firstLine="643"/>
        <w:textAlignment w:val="auto"/>
        <w:rPr>
          <w:sz w:val="32"/>
          <w:szCs w:val="32"/>
        </w:rPr>
      </w:pPr>
      <w:r>
        <w:rPr>
          <w:rFonts w:hint="eastAsia"/>
          <w:sz w:val="32"/>
          <w:szCs w:val="32"/>
        </w:rPr>
        <w:t>（三）压实主体责任</w:t>
      </w:r>
    </w:p>
    <w:p>
      <w:pPr>
        <w:pageBreakBefore w:val="0"/>
        <w:widowControl w:val="0"/>
        <w:kinsoku/>
        <w:wordWrap/>
        <w:overflowPunct/>
        <w:topLinePunct w:val="0"/>
        <w:autoSpaceDE/>
        <w:autoSpaceDN/>
        <w:bidi w:val="0"/>
        <w:adjustRightInd/>
        <w:snapToGrid/>
        <w:spacing w:line="580" w:lineRule="exact"/>
        <w:ind w:firstLine="600"/>
        <w:textAlignment w:val="auto"/>
        <w:rPr>
          <w:sz w:val="32"/>
          <w:szCs w:val="32"/>
        </w:rPr>
      </w:pPr>
      <w:r>
        <w:rPr>
          <w:rFonts w:hint="eastAsia"/>
          <w:sz w:val="32"/>
          <w:szCs w:val="32"/>
        </w:rPr>
        <w:t>光明食品集团作为域外农场运营主体，制定域外农场整体发展战略规划，明确域外农场统筹管理部门，加快构建母公司管资本定战略、产业公司管经营强竞争、农场基地管生产抓质量的管理机制。全力推动指标任务落实，做好发展目标细化拆分，压实各经营主体任务分工，加大对域外农场资金投入。做好土地等资源利用情况排摸，科学开展农场运营管理，健全域外农场人才选育、留用市场化机制。</w:t>
      </w:r>
    </w:p>
    <w:bookmarkEnd w:id="42"/>
    <w:bookmarkEnd w:id="43"/>
    <w:p>
      <w:pPr>
        <w:pStyle w:val="4"/>
        <w:pageBreakBefore w:val="0"/>
        <w:widowControl w:val="0"/>
        <w:kinsoku/>
        <w:wordWrap/>
        <w:overflowPunct/>
        <w:topLinePunct w:val="0"/>
        <w:autoSpaceDE/>
        <w:autoSpaceDN/>
        <w:bidi w:val="0"/>
        <w:adjustRightInd/>
        <w:snapToGrid/>
        <w:spacing w:line="580" w:lineRule="exact"/>
        <w:ind w:firstLine="643"/>
        <w:textAlignment w:val="auto"/>
        <w:rPr>
          <w:sz w:val="32"/>
          <w:szCs w:val="32"/>
        </w:rPr>
      </w:pPr>
      <w:r>
        <w:rPr>
          <w:rFonts w:hint="eastAsia"/>
          <w:sz w:val="32"/>
          <w:szCs w:val="32"/>
        </w:rPr>
        <w:t>（四）建立考核体系</w:t>
      </w:r>
    </w:p>
    <w:p>
      <w:pPr>
        <w:pageBreakBefore w:val="0"/>
        <w:widowControl w:val="0"/>
        <w:kinsoku/>
        <w:wordWrap/>
        <w:overflowPunct/>
        <w:topLinePunct w:val="0"/>
        <w:autoSpaceDE/>
        <w:autoSpaceDN/>
        <w:bidi w:val="0"/>
        <w:adjustRightInd/>
        <w:snapToGrid/>
        <w:spacing w:line="580" w:lineRule="exact"/>
        <w:ind w:firstLine="600"/>
        <w:textAlignment w:val="auto"/>
        <w:rPr>
          <w:sz w:val="32"/>
          <w:szCs w:val="32"/>
        </w:rPr>
      </w:pPr>
      <w:r>
        <w:rPr>
          <w:rFonts w:hint="eastAsia"/>
          <w:sz w:val="32"/>
          <w:szCs w:val="32"/>
        </w:rPr>
        <w:t>建立健全域外农场现代农业发展监测、统计、考核制度。光明食品集团定期将域外农场现代农业发展推进情况上报市农业农村部门。市农业农村部门通过定期统计、实地考察、随机抽查、重点督查等方式开展域外农场现代农业发展情况监测，将考核结果纳入市级对光明食品集团的综合考核体系。</w:t>
      </w:r>
    </w:p>
    <w:sectPr>
      <w:headerReference r:id="rId7" w:type="first"/>
      <w:footerReference r:id="rId10" w:type="first"/>
      <w:headerReference r:id="rId5" w:type="default"/>
      <w:footerReference r:id="rId8" w:type="default"/>
      <w:headerReference r:id="rId6" w:type="even"/>
      <w:footerReference r:id="rId9" w:type="even"/>
      <w:pgSz w:w="11906" w:h="16838"/>
      <w:pgMar w:top="2098" w:right="1531" w:bottom="1984" w:left="1531" w:header="851" w:footer="992" w:gutter="0"/>
      <w:pgNumType w:start="1"/>
      <w:cols w:space="425" w:num="1"/>
      <w:docGrid w:type="lines" w:linePitch="40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1" w:fontKey="{1709B890-EA7B-464D-8166-0C74AB42A37D}"/>
  </w:font>
  <w:font w:name="楷体">
    <w:panose1 w:val="02010609060101010101"/>
    <w:charset w:val="86"/>
    <w:family w:val="modern"/>
    <w:pitch w:val="default"/>
    <w:sig w:usb0="800002BF" w:usb1="38CF7CFA" w:usb2="00000016" w:usb3="00000000" w:csb0="00040001" w:csb1="00000000"/>
    <w:embedRegular r:id="rId2" w:fontKey="{942E62B5-7B08-4E10-BB80-4FB837048259}"/>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embedRegular r:id="rId3" w:fontKey="{4240DD0E-6FC2-494B-A1D9-75AA34CA8923}"/>
  </w:font>
  <w:font w:name="隶书">
    <w:panose1 w:val="02010509060101010101"/>
    <w:charset w:val="86"/>
    <w:family w:val="modern"/>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embedRegular r:id="rId4" w:fontKey="{ADD573F6-4006-402D-B134-BD32352F4845}"/>
  </w:font>
  <w:font w:name="华文中宋">
    <w:panose1 w:val="02010600040101010101"/>
    <w:charset w:val="86"/>
    <w:family w:val="auto"/>
    <w:pitch w:val="default"/>
    <w:sig w:usb0="00000287" w:usb1="080F0000" w:usb2="00000000" w:usb3="00000000" w:csb0="0004009F" w:csb1="DFD70000"/>
    <w:embedRegular r:id="rId5" w:fontKey="{AC78EEFE-213E-4F5B-A525-84E4FA232E2C}"/>
  </w:font>
  <w:font w:name="方正小标宋_GBK">
    <w:panose1 w:val="02000000000000000000"/>
    <w:charset w:val="86"/>
    <w:family w:val="auto"/>
    <w:pitch w:val="default"/>
    <w:sig w:usb0="A00002BF" w:usb1="38CF7CFA" w:usb2="00082016" w:usb3="00000000" w:csb0="00040001" w:csb1="00000000"/>
    <w:embedRegular r:id="rId6" w:fontKey="{365DE14F-25BD-4CA3-B734-C224EA821137}"/>
  </w:font>
  <w:font w:name="Arial Unicode MS">
    <w:panose1 w:val="020B0604020202020204"/>
    <w:charset w:val="86"/>
    <w:family w:val="auto"/>
    <w:pitch w:val="default"/>
    <w:sig w:usb0="FFFFFFFF" w:usb1="E9FFFFFF" w:usb2="0000003F" w:usb3="00000000" w:csb0="601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mc:AlternateContent>
        <mc:Choice Requires="wps">
          <w:drawing>
            <wp:anchor distT="0" distB="0" distL="0" distR="0" simplePos="0" relativeHeight="251659264" behindDoc="0" locked="0" layoutInCell="1" allowOverlap="1">
              <wp:simplePos x="0" y="0"/>
              <wp:positionH relativeFrom="margin">
                <wp:posOffset>2489200</wp:posOffset>
              </wp:positionH>
              <wp:positionV relativeFrom="paragraph">
                <wp:posOffset>-3810</wp:posOffset>
              </wp:positionV>
              <wp:extent cx="567055" cy="1828800"/>
              <wp:effectExtent l="0" t="0" r="4445" b="12700"/>
              <wp:wrapNone/>
              <wp:docPr id="4097" name="文本框 4"/>
              <wp:cNvGraphicFramePr/>
              <a:graphic xmlns:a="http://schemas.openxmlformats.org/drawingml/2006/main">
                <a:graphicData uri="http://schemas.microsoft.com/office/word/2010/wordprocessingShape">
                  <wps:wsp>
                    <wps:cNvSpPr/>
                    <wps:spPr>
                      <a:xfrm>
                        <a:off x="0" y="0"/>
                        <a:ext cx="567054" cy="1828800"/>
                      </a:xfrm>
                      <a:prstGeom prst="rect">
                        <a:avLst/>
                      </a:prstGeom>
                      <a:ln>
                        <a:noFill/>
                      </a:ln>
                    </wps:spPr>
                    <wps:txbx>
                      <w:txbxContent>
                        <w:p>
                          <w:pPr>
                            <w:pStyle w:val="10"/>
                            <w:ind w:firstLine="360"/>
                          </w:pPr>
                          <w:r>
                            <w:fldChar w:fldCharType="begin"/>
                          </w:r>
                          <w:r>
                            <w:instrText xml:space="preserve"> PAGE  \* MERGEFORMAT </w:instrText>
                          </w:r>
                          <w:r>
                            <w:fldChar w:fldCharType="separate"/>
                          </w:r>
                          <w:r>
                            <w:t>1</w:t>
                          </w:r>
                          <w:r>
                            <w:fldChar w:fldCharType="end"/>
                          </w:r>
                        </w:p>
                      </w:txbxContent>
                    </wps:txbx>
                    <wps:bodyPr vert="horz" wrap="square" lIns="0" tIns="0" rIns="0" bIns="0" anchor="t">
                      <a:spAutoFit/>
                    </wps:bodyPr>
                  </wps:wsp>
                </a:graphicData>
              </a:graphic>
            </wp:anchor>
          </w:drawing>
        </mc:Choice>
        <mc:Fallback>
          <w:pict>
            <v:rect id="文本框 4" o:spid="_x0000_s1026" o:spt="1" style="position:absolute;left:0pt;margin-left:196pt;margin-top:-0.3pt;height:144pt;width:44.65pt;mso-position-horizontal-relative:margin;z-index:251659264;mso-width-relative:page;mso-height-relative:page;" filled="f" stroked="f" coordsize="21600,21600" o:gfxdata="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QQO+E2QAAAAkBAAAPAAAAAAAAAAEAIAAA&#10;ACIAAABkcnMvZG93bnJldi54bWxQSwECFAAUAAAACACHTuJAimIlotIBAACTAwAADgAAAAAAAAAB&#10;ACAAAAAoAQAAZHJzL2Uyb0RvYy54bWxQSwUGAAAAAAYABgBZAQAAbAUAAAAA&#10;">
              <v:fill on="f" focussize="0,0"/>
              <v:stroke on="f"/>
              <v:imagedata o:title=""/>
              <o:lock v:ext="edit" aspectratio="f"/>
              <v:textbox inset="0mm,0mm,0mm,0mm" style="mso-fit-shape-to-text:t;">
                <w:txbxContent>
                  <w:p>
                    <w:pPr>
                      <w:pStyle w:val="10"/>
                      <w:ind w:firstLine="360"/>
                    </w:pPr>
                    <w:r>
                      <w:fldChar w:fldCharType="begin"/>
                    </w:r>
                    <w:r>
                      <w:instrText xml:space="preserve"> PAGE  \* MERGEFORMAT </w:instrText>
                    </w:r>
                    <w:r>
                      <w:fldChar w:fldCharType="separate"/>
                    </w:r>
                    <w:r>
                      <w:t>1</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00"/>
      </w:pPr>
      <w:r>
        <w:separator/>
      </w:r>
    </w:p>
  </w:footnote>
  <w:footnote w:type="continuationSeparator" w:id="1">
    <w:p>
      <w:pPr>
        <w:spacing w:line="24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HorizontalSpacing w:val="150"/>
  <w:drawingGridVerticalSpacing w:val="204"/>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EwZjczNTQxMWQxY2VhMzM0MjM5NmQwN2ZiMWU0YjQifQ=="/>
  </w:docVars>
  <w:rsids>
    <w:rsidRoot w:val="00CA23D3"/>
    <w:rsid w:val="00002065"/>
    <w:rsid w:val="00003218"/>
    <w:rsid w:val="00004C45"/>
    <w:rsid w:val="0000577C"/>
    <w:rsid w:val="00005BEA"/>
    <w:rsid w:val="000114B2"/>
    <w:rsid w:val="000136B0"/>
    <w:rsid w:val="0001559D"/>
    <w:rsid w:val="00023606"/>
    <w:rsid w:val="00023F7C"/>
    <w:rsid w:val="00026275"/>
    <w:rsid w:val="00030ECC"/>
    <w:rsid w:val="0003116E"/>
    <w:rsid w:val="000335B4"/>
    <w:rsid w:val="000363CA"/>
    <w:rsid w:val="00042E1F"/>
    <w:rsid w:val="000475FC"/>
    <w:rsid w:val="00051ABE"/>
    <w:rsid w:val="0005308D"/>
    <w:rsid w:val="00054767"/>
    <w:rsid w:val="00056690"/>
    <w:rsid w:val="000566BE"/>
    <w:rsid w:val="00056F75"/>
    <w:rsid w:val="000626D5"/>
    <w:rsid w:val="00070790"/>
    <w:rsid w:val="000708C9"/>
    <w:rsid w:val="00073760"/>
    <w:rsid w:val="0007471D"/>
    <w:rsid w:val="00077248"/>
    <w:rsid w:val="00080AE8"/>
    <w:rsid w:val="00082189"/>
    <w:rsid w:val="0008707B"/>
    <w:rsid w:val="00090906"/>
    <w:rsid w:val="00094F2A"/>
    <w:rsid w:val="000A03C8"/>
    <w:rsid w:val="000A0510"/>
    <w:rsid w:val="000A36BA"/>
    <w:rsid w:val="000A45D8"/>
    <w:rsid w:val="000A53E1"/>
    <w:rsid w:val="000B692B"/>
    <w:rsid w:val="000C1BB9"/>
    <w:rsid w:val="000C385B"/>
    <w:rsid w:val="000C58BF"/>
    <w:rsid w:val="000C7722"/>
    <w:rsid w:val="000C7BBC"/>
    <w:rsid w:val="000C7C15"/>
    <w:rsid w:val="000D0991"/>
    <w:rsid w:val="000D256D"/>
    <w:rsid w:val="000D2DFA"/>
    <w:rsid w:val="000D5DC2"/>
    <w:rsid w:val="000E2619"/>
    <w:rsid w:val="000F0AB3"/>
    <w:rsid w:val="000F21D5"/>
    <w:rsid w:val="000F3B38"/>
    <w:rsid w:val="000F3B6A"/>
    <w:rsid w:val="000F52C6"/>
    <w:rsid w:val="000F6766"/>
    <w:rsid w:val="000F7248"/>
    <w:rsid w:val="00100F7F"/>
    <w:rsid w:val="00104D18"/>
    <w:rsid w:val="00107CA2"/>
    <w:rsid w:val="00111491"/>
    <w:rsid w:val="00111C7A"/>
    <w:rsid w:val="00112B24"/>
    <w:rsid w:val="00113752"/>
    <w:rsid w:val="00124C72"/>
    <w:rsid w:val="00125C0B"/>
    <w:rsid w:val="00127D8C"/>
    <w:rsid w:val="00132458"/>
    <w:rsid w:val="00133309"/>
    <w:rsid w:val="001348DD"/>
    <w:rsid w:val="0014022F"/>
    <w:rsid w:val="00142963"/>
    <w:rsid w:val="00143553"/>
    <w:rsid w:val="00143B03"/>
    <w:rsid w:val="00146CC4"/>
    <w:rsid w:val="00147656"/>
    <w:rsid w:val="0015097E"/>
    <w:rsid w:val="001517F7"/>
    <w:rsid w:val="00153A8A"/>
    <w:rsid w:val="00156BB5"/>
    <w:rsid w:val="001605B0"/>
    <w:rsid w:val="00160942"/>
    <w:rsid w:val="00167CC6"/>
    <w:rsid w:val="0017099A"/>
    <w:rsid w:val="00172603"/>
    <w:rsid w:val="00176AF2"/>
    <w:rsid w:val="0018078A"/>
    <w:rsid w:val="00180982"/>
    <w:rsid w:val="00180F42"/>
    <w:rsid w:val="00181C7E"/>
    <w:rsid w:val="00183250"/>
    <w:rsid w:val="001842C9"/>
    <w:rsid w:val="00187772"/>
    <w:rsid w:val="00190D1B"/>
    <w:rsid w:val="001959C6"/>
    <w:rsid w:val="001A07C1"/>
    <w:rsid w:val="001A4091"/>
    <w:rsid w:val="001A6461"/>
    <w:rsid w:val="001A7D15"/>
    <w:rsid w:val="001B40A0"/>
    <w:rsid w:val="001C0992"/>
    <w:rsid w:val="001C4A84"/>
    <w:rsid w:val="001C6D9F"/>
    <w:rsid w:val="001D0754"/>
    <w:rsid w:val="001D10E0"/>
    <w:rsid w:val="001D2069"/>
    <w:rsid w:val="001D61F9"/>
    <w:rsid w:val="001D7F0D"/>
    <w:rsid w:val="001E0168"/>
    <w:rsid w:val="001E1BE9"/>
    <w:rsid w:val="001E4525"/>
    <w:rsid w:val="001E4699"/>
    <w:rsid w:val="001E5649"/>
    <w:rsid w:val="001E5F8A"/>
    <w:rsid w:val="001E6D7C"/>
    <w:rsid w:val="001F1041"/>
    <w:rsid w:val="001F236E"/>
    <w:rsid w:val="001F23D1"/>
    <w:rsid w:val="001F3A08"/>
    <w:rsid w:val="001F6D47"/>
    <w:rsid w:val="0020106D"/>
    <w:rsid w:val="00206B71"/>
    <w:rsid w:val="0021054B"/>
    <w:rsid w:val="0021072E"/>
    <w:rsid w:val="00211995"/>
    <w:rsid w:val="0021424B"/>
    <w:rsid w:val="00214C96"/>
    <w:rsid w:val="002155B8"/>
    <w:rsid w:val="00216853"/>
    <w:rsid w:val="00221CDB"/>
    <w:rsid w:val="002258E4"/>
    <w:rsid w:val="00230CB4"/>
    <w:rsid w:val="002347A6"/>
    <w:rsid w:val="00235F76"/>
    <w:rsid w:val="002362B2"/>
    <w:rsid w:val="0024027D"/>
    <w:rsid w:val="00240862"/>
    <w:rsid w:val="00241CBB"/>
    <w:rsid w:val="00243202"/>
    <w:rsid w:val="00245EDF"/>
    <w:rsid w:val="002508B8"/>
    <w:rsid w:val="00253373"/>
    <w:rsid w:val="002534D5"/>
    <w:rsid w:val="0026087A"/>
    <w:rsid w:val="00260ACD"/>
    <w:rsid w:val="002628D0"/>
    <w:rsid w:val="00262984"/>
    <w:rsid w:val="002629AD"/>
    <w:rsid w:val="0026499A"/>
    <w:rsid w:val="00266277"/>
    <w:rsid w:val="00267073"/>
    <w:rsid w:val="00267199"/>
    <w:rsid w:val="00270619"/>
    <w:rsid w:val="0027139F"/>
    <w:rsid w:val="002773F1"/>
    <w:rsid w:val="00277C5F"/>
    <w:rsid w:val="00277FD7"/>
    <w:rsid w:val="00280753"/>
    <w:rsid w:val="00283EBC"/>
    <w:rsid w:val="00283F87"/>
    <w:rsid w:val="00290B77"/>
    <w:rsid w:val="002910D6"/>
    <w:rsid w:val="002942C2"/>
    <w:rsid w:val="00296783"/>
    <w:rsid w:val="00296D27"/>
    <w:rsid w:val="002A4492"/>
    <w:rsid w:val="002A47E7"/>
    <w:rsid w:val="002A615D"/>
    <w:rsid w:val="002A7F7A"/>
    <w:rsid w:val="002B197E"/>
    <w:rsid w:val="002B6E4D"/>
    <w:rsid w:val="002B6E66"/>
    <w:rsid w:val="002C0C59"/>
    <w:rsid w:val="002C18BB"/>
    <w:rsid w:val="002C3FD8"/>
    <w:rsid w:val="002C4120"/>
    <w:rsid w:val="002C4777"/>
    <w:rsid w:val="002C5408"/>
    <w:rsid w:val="002C7E21"/>
    <w:rsid w:val="002D16FD"/>
    <w:rsid w:val="002D383E"/>
    <w:rsid w:val="002D4619"/>
    <w:rsid w:val="002D4F7B"/>
    <w:rsid w:val="002D6A2E"/>
    <w:rsid w:val="002D71A3"/>
    <w:rsid w:val="002D7756"/>
    <w:rsid w:val="002E0451"/>
    <w:rsid w:val="002E10FC"/>
    <w:rsid w:val="002E32C3"/>
    <w:rsid w:val="002E4B8F"/>
    <w:rsid w:val="002F354C"/>
    <w:rsid w:val="002F3612"/>
    <w:rsid w:val="002F3BB3"/>
    <w:rsid w:val="002F3C04"/>
    <w:rsid w:val="002F4206"/>
    <w:rsid w:val="002F4D6C"/>
    <w:rsid w:val="00300B08"/>
    <w:rsid w:val="00303A7A"/>
    <w:rsid w:val="00303C8A"/>
    <w:rsid w:val="00306846"/>
    <w:rsid w:val="003120C5"/>
    <w:rsid w:val="00312F97"/>
    <w:rsid w:val="003148ED"/>
    <w:rsid w:val="00315774"/>
    <w:rsid w:val="0031682E"/>
    <w:rsid w:val="00316AF8"/>
    <w:rsid w:val="003212EB"/>
    <w:rsid w:val="00321822"/>
    <w:rsid w:val="00322115"/>
    <w:rsid w:val="00322139"/>
    <w:rsid w:val="003240D8"/>
    <w:rsid w:val="003303A5"/>
    <w:rsid w:val="00333963"/>
    <w:rsid w:val="0033634B"/>
    <w:rsid w:val="00336433"/>
    <w:rsid w:val="003365BF"/>
    <w:rsid w:val="00341FD9"/>
    <w:rsid w:val="00344581"/>
    <w:rsid w:val="0034726E"/>
    <w:rsid w:val="00350074"/>
    <w:rsid w:val="003503DF"/>
    <w:rsid w:val="00357D2B"/>
    <w:rsid w:val="0036070C"/>
    <w:rsid w:val="003633F8"/>
    <w:rsid w:val="00365E66"/>
    <w:rsid w:val="00370FF9"/>
    <w:rsid w:val="00372FB1"/>
    <w:rsid w:val="00375588"/>
    <w:rsid w:val="00376A3B"/>
    <w:rsid w:val="00377077"/>
    <w:rsid w:val="00380752"/>
    <w:rsid w:val="00380E07"/>
    <w:rsid w:val="0038187D"/>
    <w:rsid w:val="00382710"/>
    <w:rsid w:val="0038693F"/>
    <w:rsid w:val="00386E8C"/>
    <w:rsid w:val="0038727D"/>
    <w:rsid w:val="003905F6"/>
    <w:rsid w:val="0039259D"/>
    <w:rsid w:val="00393418"/>
    <w:rsid w:val="003953A3"/>
    <w:rsid w:val="00395468"/>
    <w:rsid w:val="00395A4E"/>
    <w:rsid w:val="0039739F"/>
    <w:rsid w:val="003B1742"/>
    <w:rsid w:val="003B2A8D"/>
    <w:rsid w:val="003B3E1C"/>
    <w:rsid w:val="003B698D"/>
    <w:rsid w:val="003B78A9"/>
    <w:rsid w:val="003C281C"/>
    <w:rsid w:val="003D215C"/>
    <w:rsid w:val="003D4249"/>
    <w:rsid w:val="003E1907"/>
    <w:rsid w:val="003E1ADC"/>
    <w:rsid w:val="003E36E5"/>
    <w:rsid w:val="003E3DE7"/>
    <w:rsid w:val="003E6028"/>
    <w:rsid w:val="003F2F59"/>
    <w:rsid w:val="003F6D1C"/>
    <w:rsid w:val="004034F4"/>
    <w:rsid w:val="00404483"/>
    <w:rsid w:val="00404589"/>
    <w:rsid w:val="00410876"/>
    <w:rsid w:val="00417C4D"/>
    <w:rsid w:val="004208C6"/>
    <w:rsid w:val="00420A93"/>
    <w:rsid w:val="0042358F"/>
    <w:rsid w:val="00426301"/>
    <w:rsid w:val="00427C69"/>
    <w:rsid w:val="00431BF3"/>
    <w:rsid w:val="0043400E"/>
    <w:rsid w:val="00437773"/>
    <w:rsid w:val="004432AE"/>
    <w:rsid w:val="00445B2C"/>
    <w:rsid w:val="00451529"/>
    <w:rsid w:val="00451C1F"/>
    <w:rsid w:val="00453AE6"/>
    <w:rsid w:val="00455E36"/>
    <w:rsid w:val="00470839"/>
    <w:rsid w:val="00471AFF"/>
    <w:rsid w:val="00471B1A"/>
    <w:rsid w:val="00474D84"/>
    <w:rsid w:val="004800E4"/>
    <w:rsid w:val="00492C34"/>
    <w:rsid w:val="004A0DEA"/>
    <w:rsid w:val="004A1E39"/>
    <w:rsid w:val="004A292B"/>
    <w:rsid w:val="004A3EF7"/>
    <w:rsid w:val="004A5662"/>
    <w:rsid w:val="004A7578"/>
    <w:rsid w:val="004B1310"/>
    <w:rsid w:val="004B14EA"/>
    <w:rsid w:val="004B1759"/>
    <w:rsid w:val="004C15AA"/>
    <w:rsid w:val="004C27C6"/>
    <w:rsid w:val="004C35A2"/>
    <w:rsid w:val="004C4F01"/>
    <w:rsid w:val="004C761A"/>
    <w:rsid w:val="004C7FA9"/>
    <w:rsid w:val="004D2A9A"/>
    <w:rsid w:val="004D2FC1"/>
    <w:rsid w:val="004D6A05"/>
    <w:rsid w:val="004E191E"/>
    <w:rsid w:val="004E1DC6"/>
    <w:rsid w:val="004E1F32"/>
    <w:rsid w:val="004E4A1E"/>
    <w:rsid w:val="004E4E2E"/>
    <w:rsid w:val="004E551B"/>
    <w:rsid w:val="004F25EC"/>
    <w:rsid w:val="004F52C6"/>
    <w:rsid w:val="004F6214"/>
    <w:rsid w:val="004F768A"/>
    <w:rsid w:val="0050083D"/>
    <w:rsid w:val="005064C7"/>
    <w:rsid w:val="005073C2"/>
    <w:rsid w:val="00507672"/>
    <w:rsid w:val="00510A67"/>
    <w:rsid w:val="005128A1"/>
    <w:rsid w:val="00515E59"/>
    <w:rsid w:val="005168B8"/>
    <w:rsid w:val="00521667"/>
    <w:rsid w:val="00521F53"/>
    <w:rsid w:val="00526AD9"/>
    <w:rsid w:val="00532869"/>
    <w:rsid w:val="0053371B"/>
    <w:rsid w:val="00533A37"/>
    <w:rsid w:val="005412E1"/>
    <w:rsid w:val="005415FC"/>
    <w:rsid w:val="00541D42"/>
    <w:rsid w:val="0054244B"/>
    <w:rsid w:val="00543B84"/>
    <w:rsid w:val="00544600"/>
    <w:rsid w:val="00547F1A"/>
    <w:rsid w:val="00551186"/>
    <w:rsid w:val="00554E5B"/>
    <w:rsid w:val="00555349"/>
    <w:rsid w:val="00560A07"/>
    <w:rsid w:val="005615B4"/>
    <w:rsid w:val="005668E7"/>
    <w:rsid w:val="005711F7"/>
    <w:rsid w:val="00573A55"/>
    <w:rsid w:val="005776A1"/>
    <w:rsid w:val="005803FF"/>
    <w:rsid w:val="005819F2"/>
    <w:rsid w:val="00581B44"/>
    <w:rsid w:val="00582981"/>
    <w:rsid w:val="0059000D"/>
    <w:rsid w:val="005917D4"/>
    <w:rsid w:val="005921BC"/>
    <w:rsid w:val="00595990"/>
    <w:rsid w:val="00596128"/>
    <w:rsid w:val="00596F23"/>
    <w:rsid w:val="005976E3"/>
    <w:rsid w:val="005A0F99"/>
    <w:rsid w:val="005A38CE"/>
    <w:rsid w:val="005A3A80"/>
    <w:rsid w:val="005A4499"/>
    <w:rsid w:val="005A5EEC"/>
    <w:rsid w:val="005A5FB1"/>
    <w:rsid w:val="005A7A56"/>
    <w:rsid w:val="005B3025"/>
    <w:rsid w:val="005B3637"/>
    <w:rsid w:val="005C276E"/>
    <w:rsid w:val="005C3423"/>
    <w:rsid w:val="005C4005"/>
    <w:rsid w:val="005C77E7"/>
    <w:rsid w:val="005D2378"/>
    <w:rsid w:val="005D3B7E"/>
    <w:rsid w:val="005D54B4"/>
    <w:rsid w:val="005D7ADD"/>
    <w:rsid w:val="005E3D09"/>
    <w:rsid w:val="005E4851"/>
    <w:rsid w:val="005E4D28"/>
    <w:rsid w:val="005E5C27"/>
    <w:rsid w:val="005E66EE"/>
    <w:rsid w:val="005E7D1B"/>
    <w:rsid w:val="005F0814"/>
    <w:rsid w:val="005F4392"/>
    <w:rsid w:val="005F5796"/>
    <w:rsid w:val="005F6287"/>
    <w:rsid w:val="005F6995"/>
    <w:rsid w:val="00604709"/>
    <w:rsid w:val="00606D63"/>
    <w:rsid w:val="00607DAF"/>
    <w:rsid w:val="006146C4"/>
    <w:rsid w:val="00621370"/>
    <w:rsid w:val="00630680"/>
    <w:rsid w:val="00632211"/>
    <w:rsid w:val="00634FFE"/>
    <w:rsid w:val="0063708A"/>
    <w:rsid w:val="00640E4F"/>
    <w:rsid w:val="0064302F"/>
    <w:rsid w:val="006431BD"/>
    <w:rsid w:val="00643F27"/>
    <w:rsid w:val="00646E38"/>
    <w:rsid w:val="006513D6"/>
    <w:rsid w:val="006530BF"/>
    <w:rsid w:val="0065400A"/>
    <w:rsid w:val="00654A39"/>
    <w:rsid w:val="00655007"/>
    <w:rsid w:val="00656CD9"/>
    <w:rsid w:val="00667A69"/>
    <w:rsid w:val="00671CBC"/>
    <w:rsid w:val="0067316E"/>
    <w:rsid w:val="006766C5"/>
    <w:rsid w:val="00676943"/>
    <w:rsid w:val="00677075"/>
    <w:rsid w:val="006849C7"/>
    <w:rsid w:val="0068509A"/>
    <w:rsid w:val="00685D18"/>
    <w:rsid w:val="00687EB1"/>
    <w:rsid w:val="006908E1"/>
    <w:rsid w:val="00690C44"/>
    <w:rsid w:val="00693F85"/>
    <w:rsid w:val="006944C8"/>
    <w:rsid w:val="006A037D"/>
    <w:rsid w:val="006A14FC"/>
    <w:rsid w:val="006A2BB9"/>
    <w:rsid w:val="006A4972"/>
    <w:rsid w:val="006A7B9C"/>
    <w:rsid w:val="006B0184"/>
    <w:rsid w:val="006B455C"/>
    <w:rsid w:val="006B6073"/>
    <w:rsid w:val="006C1584"/>
    <w:rsid w:val="006C2F42"/>
    <w:rsid w:val="006C4410"/>
    <w:rsid w:val="006D13DB"/>
    <w:rsid w:val="006D17D6"/>
    <w:rsid w:val="006D5528"/>
    <w:rsid w:val="006D665C"/>
    <w:rsid w:val="006E36D6"/>
    <w:rsid w:val="006E4E2F"/>
    <w:rsid w:val="006E506E"/>
    <w:rsid w:val="006E5C2A"/>
    <w:rsid w:val="006F26F2"/>
    <w:rsid w:val="006F33DE"/>
    <w:rsid w:val="006F6B60"/>
    <w:rsid w:val="006F7278"/>
    <w:rsid w:val="00701B41"/>
    <w:rsid w:val="00704543"/>
    <w:rsid w:val="00706700"/>
    <w:rsid w:val="00712BF7"/>
    <w:rsid w:val="00714A55"/>
    <w:rsid w:val="007169EE"/>
    <w:rsid w:val="00720C3F"/>
    <w:rsid w:val="00721E79"/>
    <w:rsid w:val="007231D5"/>
    <w:rsid w:val="00723424"/>
    <w:rsid w:val="00727D28"/>
    <w:rsid w:val="00730998"/>
    <w:rsid w:val="007342D8"/>
    <w:rsid w:val="00734D26"/>
    <w:rsid w:val="0073520A"/>
    <w:rsid w:val="00745154"/>
    <w:rsid w:val="00753F8E"/>
    <w:rsid w:val="00756D29"/>
    <w:rsid w:val="00757B5E"/>
    <w:rsid w:val="00762D5C"/>
    <w:rsid w:val="007712BC"/>
    <w:rsid w:val="007742FF"/>
    <w:rsid w:val="00777CD6"/>
    <w:rsid w:val="00777D04"/>
    <w:rsid w:val="00777DB2"/>
    <w:rsid w:val="00777FB2"/>
    <w:rsid w:val="007808A6"/>
    <w:rsid w:val="00781731"/>
    <w:rsid w:val="00783C39"/>
    <w:rsid w:val="0079495C"/>
    <w:rsid w:val="00796066"/>
    <w:rsid w:val="007A1865"/>
    <w:rsid w:val="007A215C"/>
    <w:rsid w:val="007A48EC"/>
    <w:rsid w:val="007A5E04"/>
    <w:rsid w:val="007A6EDC"/>
    <w:rsid w:val="007B3F9C"/>
    <w:rsid w:val="007B40FF"/>
    <w:rsid w:val="007B6E6E"/>
    <w:rsid w:val="007C0BBF"/>
    <w:rsid w:val="007C2F73"/>
    <w:rsid w:val="007C3D8A"/>
    <w:rsid w:val="007D37A3"/>
    <w:rsid w:val="007D3C85"/>
    <w:rsid w:val="007D50E2"/>
    <w:rsid w:val="007D67C9"/>
    <w:rsid w:val="007E0DF7"/>
    <w:rsid w:val="007E63A2"/>
    <w:rsid w:val="007E6C2D"/>
    <w:rsid w:val="007F3441"/>
    <w:rsid w:val="007F3D67"/>
    <w:rsid w:val="00801862"/>
    <w:rsid w:val="0080326A"/>
    <w:rsid w:val="00812B82"/>
    <w:rsid w:val="00814367"/>
    <w:rsid w:val="00816C46"/>
    <w:rsid w:val="0082003E"/>
    <w:rsid w:val="008219F3"/>
    <w:rsid w:val="00823A30"/>
    <w:rsid w:val="00823D1B"/>
    <w:rsid w:val="0082692A"/>
    <w:rsid w:val="00834B54"/>
    <w:rsid w:val="008367DB"/>
    <w:rsid w:val="00837991"/>
    <w:rsid w:val="00840045"/>
    <w:rsid w:val="00841072"/>
    <w:rsid w:val="00841763"/>
    <w:rsid w:val="008422C7"/>
    <w:rsid w:val="0084549D"/>
    <w:rsid w:val="00847E0A"/>
    <w:rsid w:val="00850C47"/>
    <w:rsid w:val="00862095"/>
    <w:rsid w:val="008626EF"/>
    <w:rsid w:val="008642A2"/>
    <w:rsid w:val="00864DA4"/>
    <w:rsid w:val="00865DF5"/>
    <w:rsid w:val="0087000E"/>
    <w:rsid w:val="00872EB7"/>
    <w:rsid w:val="00873855"/>
    <w:rsid w:val="0088015A"/>
    <w:rsid w:val="00881AF9"/>
    <w:rsid w:val="008860B2"/>
    <w:rsid w:val="0089280C"/>
    <w:rsid w:val="0089614C"/>
    <w:rsid w:val="008A1197"/>
    <w:rsid w:val="008A4056"/>
    <w:rsid w:val="008A6E82"/>
    <w:rsid w:val="008B092E"/>
    <w:rsid w:val="008B1685"/>
    <w:rsid w:val="008B2629"/>
    <w:rsid w:val="008B55A5"/>
    <w:rsid w:val="008B613D"/>
    <w:rsid w:val="008C12EC"/>
    <w:rsid w:val="008C300C"/>
    <w:rsid w:val="008C4039"/>
    <w:rsid w:val="008C509E"/>
    <w:rsid w:val="008C6310"/>
    <w:rsid w:val="008C780C"/>
    <w:rsid w:val="008C7A7E"/>
    <w:rsid w:val="008D041C"/>
    <w:rsid w:val="008D4811"/>
    <w:rsid w:val="008E07BB"/>
    <w:rsid w:val="008E1ECC"/>
    <w:rsid w:val="008E2789"/>
    <w:rsid w:val="008E32C7"/>
    <w:rsid w:val="008E33F2"/>
    <w:rsid w:val="008E7CE5"/>
    <w:rsid w:val="008F0AA7"/>
    <w:rsid w:val="008F1295"/>
    <w:rsid w:val="008F3EB0"/>
    <w:rsid w:val="008F5F7E"/>
    <w:rsid w:val="008F7DCF"/>
    <w:rsid w:val="008F7F94"/>
    <w:rsid w:val="0090095C"/>
    <w:rsid w:val="00904C2E"/>
    <w:rsid w:val="00913FAE"/>
    <w:rsid w:val="00915AD8"/>
    <w:rsid w:val="00916078"/>
    <w:rsid w:val="00917CC7"/>
    <w:rsid w:val="00920D6B"/>
    <w:rsid w:val="00921C61"/>
    <w:rsid w:val="0092245A"/>
    <w:rsid w:val="009225F1"/>
    <w:rsid w:val="00923252"/>
    <w:rsid w:val="0092656E"/>
    <w:rsid w:val="009270A4"/>
    <w:rsid w:val="00933F52"/>
    <w:rsid w:val="00936B53"/>
    <w:rsid w:val="00941B40"/>
    <w:rsid w:val="00941C8C"/>
    <w:rsid w:val="009436B8"/>
    <w:rsid w:val="00945DAD"/>
    <w:rsid w:val="00945FB8"/>
    <w:rsid w:val="009466D9"/>
    <w:rsid w:val="00946F5E"/>
    <w:rsid w:val="0095048B"/>
    <w:rsid w:val="009506B0"/>
    <w:rsid w:val="0095279B"/>
    <w:rsid w:val="00953E89"/>
    <w:rsid w:val="00956138"/>
    <w:rsid w:val="00964782"/>
    <w:rsid w:val="009716E3"/>
    <w:rsid w:val="00972B5C"/>
    <w:rsid w:val="00974314"/>
    <w:rsid w:val="00975EC0"/>
    <w:rsid w:val="009810A0"/>
    <w:rsid w:val="00981BF8"/>
    <w:rsid w:val="009823C5"/>
    <w:rsid w:val="009834CB"/>
    <w:rsid w:val="009839C3"/>
    <w:rsid w:val="00983F1F"/>
    <w:rsid w:val="009850DD"/>
    <w:rsid w:val="00985CFB"/>
    <w:rsid w:val="00987191"/>
    <w:rsid w:val="00992EAF"/>
    <w:rsid w:val="00995F10"/>
    <w:rsid w:val="009A0320"/>
    <w:rsid w:val="009A1014"/>
    <w:rsid w:val="009A1D02"/>
    <w:rsid w:val="009A2A75"/>
    <w:rsid w:val="009A4048"/>
    <w:rsid w:val="009A43F7"/>
    <w:rsid w:val="009A5945"/>
    <w:rsid w:val="009B1610"/>
    <w:rsid w:val="009B6DF1"/>
    <w:rsid w:val="009C0E52"/>
    <w:rsid w:val="009C30B2"/>
    <w:rsid w:val="009C7621"/>
    <w:rsid w:val="009D0A69"/>
    <w:rsid w:val="009D3374"/>
    <w:rsid w:val="009D7C3E"/>
    <w:rsid w:val="009E1791"/>
    <w:rsid w:val="009E2FCD"/>
    <w:rsid w:val="009E3530"/>
    <w:rsid w:val="009E6442"/>
    <w:rsid w:val="009F07E0"/>
    <w:rsid w:val="009F200C"/>
    <w:rsid w:val="009F3E99"/>
    <w:rsid w:val="00A059EF"/>
    <w:rsid w:val="00A15FA5"/>
    <w:rsid w:val="00A165EE"/>
    <w:rsid w:val="00A20C26"/>
    <w:rsid w:val="00A31123"/>
    <w:rsid w:val="00A33A00"/>
    <w:rsid w:val="00A3555D"/>
    <w:rsid w:val="00A36F04"/>
    <w:rsid w:val="00A416B4"/>
    <w:rsid w:val="00A41CC3"/>
    <w:rsid w:val="00A5357B"/>
    <w:rsid w:val="00A5396E"/>
    <w:rsid w:val="00A54177"/>
    <w:rsid w:val="00A54DB3"/>
    <w:rsid w:val="00A611E4"/>
    <w:rsid w:val="00A70F5B"/>
    <w:rsid w:val="00A755F4"/>
    <w:rsid w:val="00A76869"/>
    <w:rsid w:val="00A80F34"/>
    <w:rsid w:val="00A816FF"/>
    <w:rsid w:val="00A81B95"/>
    <w:rsid w:val="00A868FC"/>
    <w:rsid w:val="00A93DFD"/>
    <w:rsid w:val="00A97B5C"/>
    <w:rsid w:val="00AA06C6"/>
    <w:rsid w:val="00AA1159"/>
    <w:rsid w:val="00AA2EA1"/>
    <w:rsid w:val="00AA4B96"/>
    <w:rsid w:val="00AA5673"/>
    <w:rsid w:val="00AA5C4C"/>
    <w:rsid w:val="00AA6480"/>
    <w:rsid w:val="00AA7888"/>
    <w:rsid w:val="00AB0489"/>
    <w:rsid w:val="00AB5DDB"/>
    <w:rsid w:val="00AC1E0C"/>
    <w:rsid w:val="00AC2773"/>
    <w:rsid w:val="00AC7F7A"/>
    <w:rsid w:val="00AD17E8"/>
    <w:rsid w:val="00AD2053"/>
    <w:rsid w:val="00AD3F12"/>
    <w:rsid w:val="00AD7FD8"/>
    <w:rsid w:val="00AE0199"/>
    <w:rsid w:val="00AE4535"/>
    <w:rsid w:val="00AF244A"/>
    <w:rsid w:val="00AF5A67"/>
    <w:rsid w:val="00AF5F6A"/>
    <w:rsid w:val="00B00422"/>
    <w:rsid w:val="00B03460"/>
    <w:rsid w:val="00B04E09"/>
    <w:rsid w:val="00B05741"/>
    <w:rsid w:val="00B06A7D"/>
    <w:rsid w:val="00B103CB"/>
    <w:rsid w:val="00B103EC"/>
    <w:rsid w:val="00B12C5A"/>
    <w:rsid w:val="00B140BE"/>
    <w:rsid w:val="00B16DA5"/>
    <w:rsid w:val="00B2404A"/>
    <w:rsid w:val="00B275CF"/>
    <w:rsid w:val="00B304D1"/>
    <w:rsid w:val="00B308A2"/>
    <w:rsid w:val="00B322FF"/>
    <w:rsid w:val="00B3605A"/>
    <w:rsid w:val="00B37417"/>
    <w:rsid w:val="00B40229"/>
    <w:rsid w:val="00B41C8D"/>
    <w:rsid w:val="00B428CB"/>
    <w:rsid w:val="00B44CE1"/>
    <w:rsid w:val="00B476B5"/>
    <w:rsid w:val="00B533E7"/>
    <w:rsid w:val="00B53FA4"/>
    <w:rsid w:val="00B56155"/>
    <w:rsid w:val="00B56B03"/>
    <w:rsid w:val="00B57E58"/>
    <w:rsid w:val="00B57FA4"/>
    <w:rsid w:val="00B60063"/>
    <w:rsid w:val="00B63469"/>
    <w:rsid w:val="00B673EE"/>
    <w:rsid w:val="00B73A73"/>
    <w:rsid w:val="00B74C41"/>
    <w:rsid w:val="00B76478"/>
    <w:rsid w:val="00B80F3D"/>
    <w:rsid w:val="00B85A7D"/>
    <w:rsid w:val="00B860A3"/>
    <w:rsid w:val="00B8682E"/>
    <w:rsid w:val="00B874A3"/>
    <w:rsid w:val="00B93681"/>
    <w:rsid w:val="00B94116"/>
    <w:rsid w:val="00B94E1B"/>
    <w:rsid w:val="00B9599E"/>
    <w:rsid w:val="00B968CD"/>
    <w:rsid w:val="00B9726D"/>
    <w:rsid w:val="00BA40D7"/>
    <w:rsid w:val="00BA45C5"/>
    <w:rsid w:val="00BA6C01"/>
    <w:rsid w:val="00BA6CF0"/>
    <w:rsid w:val="00BA78B5"/>
    <w:rsid w:val="00BA7D54"/>
    <w:rsid w:val="00BB137F"/>
    <w:rsid w:val="00BB1628"/>
    <w:rsid w:val="00BB47B2"/>
    <w:rsid w:val="00BB52FC"/>
    <w:rsid w:val="00BB7742"/>
    <w:rsid w:val="00BC24F4"/>
    <w:rsid w:val="00BC31D9"/>
    <w:rsid w:val="00BC3343"/>
    <w:rsid w:val="00BC442F"/>
    <w:rsid w:val="00BC5CD3"/>
    <w:rsid w:val="00BC5F72"/>
    <w:rsid w:val="00BC62FF"/>
    <w:rsid w:val="00BC65F9"/>
    <w:rsid w:val="00BD0147"/>
    <w:rsid w:val="00BD21F5"/>
    <w:rsid w:val="00BD29CF"/>
    <w:rsid w:val="00BD4692"/>
    <w:rsid w:val="00BD4FC6"/>
    <w:rsid w:val="00BE0050"/>
    <w:rsid w:val="00BE042B"/>
    <w:rsid w:val="00BE1101"/>
    <w:rsid w:val="00BE1A9D"/>
    <w:rsid w:val="00BE282E"/>
    <w:rsid w:val="00BE6608"/>
    <w:rsid w:val="00BF0070"/>
    <w:rsid w:val="00BF17A9"/>
    <w:rsid w:val="00BF1D75"/>
    <w:rsid w:val="00BF2199"/>
    <w:rsid w:val="00BF2BDA"/>
    <w:rsid w:val="00BF2CEC"/>
    <w:rsid w:val="00BF4508"/>
    <w:rsid w:val="00C04139"/>
    <w:rsid w:val="00C06EC3"/>
    <w:rsid w:val="00C07CF2"/>
    <w:rsid w:val="00C10203"/>
    <w:rsid w:val="00C12C54"/>
    <w:rsid w:val="00C1621D"/>
    <w:rsid w:val="00C16AD1"/>
    <w:rsid w:val="00C178AE"/>
    <w:rsid w:val="00C26AC4"/>
    <w:rsid w:val="00C30FFA"/>
    <w:rsid w:val="00C34D8E"/>
    <w:rsid w:val="00C36048"/>
    <w:rsid w:val="00C42BBC"/>
    <w:rsid w:val="00C50A6E"/>
    <w:rsid w:val="00C513FF"/>
    <w:rsid w:val="00C52D83"/>
    <w:rsid w:val="00C6030F"/>
    <w:rsid w:val="00C6354B"/>
    <w:rsid w:val="00C73CE0"/>
    <w:rsid w:val="00C74F48"/>
    <w:rsid w:val="00C7699E"/>
    <w:rsid w:val="00C8062F"/>
    <w:rsid w:val="00C8197D"/>
    <w:rsid w:val="00C81C2B"/>
    <w:rsid w:val="00C8220D"/>
    <w:rsid w:val="00C830F5"/>
    <w:rsid w:val="00C83BD3"/>
    <w:rsid w:val="00C855AE"/>
    <w:rsid w:val="00C86BFE"/>
    <w:rsid w:val="00C86D41"/>
    <w:rsid w:val="00C87C07"/>
    <w:rsid w:val="00C87DC8"/>
    <w:rsid w:val="00C93C26"/>
    <w:rsid w:val="00C96F2B"/>
    <w:rsid w:val="00CA23D3"/>
    <w:rsid w:val="00CA6023"/>
    <w:rsid w:val="00CA6D26"/>
    <w:rsid w:val="00CB0991"/>
    <w:rsid w:val="00CB1466"/>
    <w:rsid w:val="00CB6C34"/>
    <w:rsid w:val="00CC0AF2"/>
    <w:rsid w:val="00CC2004"/>
    <w:rsid w:val="00CC2707"/>
    <w:rsid w:val="00CC2F97"/>
    <w:rsid w:val="00CC58F3"/>
    <w:rsid w:val="00CD0587"/>
    <w:rsid w:val="00CE2AAB"/>
    <w:rsid w:val="00CE4EF0"/>
    <w:rsid w:val="00CE5C31"/>
    <w:rsid w:val="00CE616A"/>
    <w:rsid w:val="00CE6996"/>
    <w:rsid w:val="00CF5C3E"/>
    <w:rsid w:val="00CF61C8"/>
    <w:rsid w:val="00CF6D3A"/>
    <w:rsid w:val="00D009EF"/>
    <w:rsid w:val="00D00C4C"/>
    <w:rsid w:val="00D02009"/>
    <w:rsid w:val="00D0582C"/>
    <w:rsid w:val="00D07CAE"/>
    <w:rsid w:val="00D13D4F"/>
    <w:rsid w:val="00D14BFE"/>
    <w:rsid w:val="00D2122D"/>
    <w:rsid w:val="00D221B5"/>
    <w:rsid w:val="00D22D27"/>
    <w:rsid w:val="00D261FD"/>
    <w:rsid w:val="00D270A9"/>
    <w:rsid w:val="00D27B80"/>
    <w:rsid w:val="00D33C45"/>
    <w:rsid w:val="00D34217"/>
    <w:rsid w:val="00D371C8"/>
    <w:rsid w:val="00D404C0"/>
    <w:rsid w:val="00D41683"/>
    <w:rsid w:val="00D4565F"/>
    <w:rsid w:val="00D60671"/>
    <w:rsid w:val="00D62BD2"/>
    <w:rsid w:val="00D64678"/>
    <w:rsid w:val="00D669C9"/>
    <w:rsid w:val="00D70BAC"/>
    <w:rsid w:val="00D76CD6"/>
    <w:rsid w:val="00D822C3"/>
    <w:rsid w:val="00D83425"/>
    <w:rsid w:val="00D83943"/>
    <w:rsid w:val="00D9150D"/>
    <w:rsid w:val="00D94273"/>
    <w:rsid w:val="00D96FD1"/>
    <w:rsid w:val="00D96FEF"/>
    <w:rsid w:val="00DA3372"/>
    <w:rsid w:val="00DA3C16"/>
    <w:rsid w:val="00DA7975"/>
    <w:rsid w:val="00DB0958"/>
    <w:rsid w:val="00DB182D"/>
    <w:rsid w:val="00DB1FAA"/>
    <w:rsid w:val="00DB2863"/>
    <w:rsid w:val="00DB4049"/>
    <w:rsid w:val="00DC0E6F"/>
    <w:rsid w:val="00DC157C"/>
    <w:rsid w:val="00DC1D5B"/>
    <w:rsid w:val="00DC2EF0"/>
    <w:rsid w:val="00DC304D"/>
    <w:rsid w:val="00DC3214"/>
    <w:rsid w:val="00DC351F"/>
    <w:rsid w:val="00DC5C02"/>
    <w:rsid w:val="00DD0E76"/>
    <w:rsid w:val="00DD1C4F"/>
    <w:rsid w:val="00DD44E1"/>
    <w:rsid w:val="00DD6C2E"/>
    <w:rsid w:val="00DD738B"/>
    <w:rsid w:val="00DE2C1B"/>
    <w:rsid w:val="00DE2CD9"/>
    <w:rsid w:val="00DE567E"/>
    <w:rsid w:val="00DE67C2"/>
    <w:rsid w:val="00DE6FCB"/>
    <w:rsid w:val="00DE746C"/>
    <w:rsid w:val="00DF0E18"/>
    <w:rsid w:val="00DF18A2"/>
    <w:rsid w:val="00DF3D93"/>
    <w:rsid w:val="00DF5BA5"/>
    <w:rsid w:val="00DF7AA2"/>
    <w:rsid w:val="00E105CB"/>
    <w:rsid w:val="00E106A3"/>
    <w:rsid w:val="00E129A9"/>
    <w:rsid w:val="00E14389"/>
    <w:rsid w:val="00E148E0"/>
    <w:rsid w:val="00E223AE"/>
    <w:rsid w:val="00E22A71"/>
    <w:rsid w:val="00E22DE7"/>
    <w:rsid w:val="00E245B7"/>
    <w:rsid w:val="00E2605F"/>
    <w:rsid w:val="00E314E4"/>
    <w:rsid w:val="00E3209B"/>
    <w:rsid w:val="00E32774"/>
    <w:rsid w:val="00E37935"/>
    <w:rsid w:val="00E427F3"/>
    <w:rsid w:val="00E50E87"/>
    <w:rsid w:val="00E524FD"/>
    <w:rsid w:val="00E52662"/>
    <w:rsid w:val="00E53426"/>
    <w:rsid w:val="00E534E6"/>
    <w:rsid w:val="00E5386F"/>
    <w:rsid w:val="00E61BFC"/>
    <w:rsid w:val="00E63F9E"/>
    <w:rsid w:val="00E6423E"/>
    <w:rsid w:val="00E65BD6"/>
    <w:rsid w:val="00E6762A"/>
    <w:rsid w:val="00E67E71"/>
    <w:rsid w:val="00E73B20"/>
    <w:rsid w:val="00E74ECF"/>
    <w:rsid w:val="00E81E02"/>
    <w:rsid w:val="00E843DC"/>
    <w:rsid w:val="00E84604"/>
    <w:rsid w:val="00E86B5D"/>
    <w:rsid w:val="00E92FD1"/>
    <w:rsid w:val="00EA0DDA"/>
    <w:rsid w:val="00EA230A"/>
    <w:rsid w:val="00EA23A7"/>
    <w:rsid w:val="00EA362C"/>
    <w:rsid w:val="00EA3F4B"/>
    <w:rsid w:val="00EA6F74"/>
    <w:rsid w:val="00EA794F"/>
    <w:rsid w:val="00EB35B9"/>
    <w:rsid w:val="00EB59E0"/>
    <w:rsid w:val="00EB649F"/>
    <w:rsid w:val="00EB702E"/>
    <w:rsid w:val="00EB779F"/>
    <w:rsid w:val="00EB7BFA"/>
    <w:rsid w:val="00EB7F01"/>
    <w:rsid w:val="00EC1574"/>
    <w:rsid w:val="00EC37CC"/>
    <w:rsid w:val="00EC4117"/>
    <w:rsid w:val="00EC7C5E"/>
    <w:rsid w:val="00EC7F40"/>
    <w:rsid w:val="00ED1A1A"/>
    <w:rsid w:val="00ED455B"/>
    <w:rsid w:val="00ED4EBB"/>
    <w:rsid w:val="00EE0FBF"/>
    <w:rsid w:val="00EE29A1"/>
    <w:rsid w:val="00EE464C"/>
    <w:rsid w:val="00EE5CA0"/>
    <w:rsid w:val="00EE73BD"/>
    <w:rsid w:val="00EF6B75"/>
    <w:rsid w:val="00EF7276"/>
    <w:rsid w:val="00F01261"/>
    <w:rsid w:val="00F013E1"/>
    <w:rsid w:val="00F0453E"/>
    <w:rsid w:val="00F12F31"/>
    <w:rsid w:val="00F20394"/>
    <w:rsid w:val="00F21C74"/>
    <w:rsid w:val="00F25C50"/>
    <w:rsid w:val="00F26E54"/>
    <w:rsid w:val="00F31BA5"/>
    <w:rsid w:val="00F320A1"/>
    <w:rsid w:val="00F33BF3"/>
    <w:rsid w:val="00F3474E"/>
    <w:rsid w:val="00F36366"/>
    <w:rsid w:val="00F36FD4"/>
    <w:rsid w:val="00F37757"/>
    <w:rsid w:val="00F40826"/>
    <w:rsid w:val="00F41959"/>
    <w:rsid w:val="00F4525D"/>
    <w:rsid w:val="00F5193A"/>
    <w:rsid w:val="00F5278D"/>
    <w:rsid w:val="00F539D2"/>
    <w:rsid w:val="00F53A95"/>
    <w:rsid w:val="00F544CA"/>
    <w:rsid w:val="00F55A10"/>
    <w:rsid w:val="00F55B09"/>
    <w:rsid w:val="00F55EBA"/>
    <w:rsid w:val="00F63C5F"/>
    <w:rsid w:val="00F6457E"/>
    <w:rsid w:val="00F64936"/>
    <w:rsid w:val="00F66EFE"/>
    <w:rsid w:val="00F704E1"/>
    <w:rsid w:val="00F759C0"/>
    <w:rsid w:val="00F7612D"/>
    <w:rsid w:val="00F7650D"/>
    <w:rsid w:val="00F77200"/>
    <w:rsid w:val="00F84F2A"/>
    <w:rsid w:val="00F85168"/>
    <w:rsid w:val="00F8553B"/>
    <w:rsid w:val="00F86C51"/>
    <w:rsid w:val="00F87881"/>
    <w:rsid w:val="00F9005F"/>
    <w:rsid w:val="00F908D6"/>
    <w:rsid w:val="00F932CC"/>
    <w:rsid w:val="00F937CB"/>
    <w:rsid w:val="00F9411F"/>
    <w:rsid w:val="00F97DCB"/>
    <w:rsid w:val="00FA0C68"/>
    <w:rsid w:val="00FB5710"/>
    <w:rsid w:val="00FB59BA"/>
    <w:rsid w:val="00FB6A51"/>
    <w:rsid w:val="00FB70A9"/>
    <w:rsid w:val="00FB7A59"/>
    <w:rsid w:val="00FC3195"/>
    <w:rsid w:val="00FC6988"/>
    <w:rsid w:val="00FC698B"/>
    <w:rsid w:val="00FD286A"/>
    <w:rsid w:val="00FD4B14"/>
    <w:rsid w:val="00FD4D24"/>
    <w:rsid w:val="00FE1BCA"/>
    <w:rsid w:val="00FE39CC"/>
    <w:rsid w:val="00FF511E"/>
    <w:rsid w:val="0118281F"/>
    <w:rsid w:val="01C3116E"/>
    <w:rsid w:val="0391454A"/>
    <w:rsid w:val="080E5E25"/>
    <w:rsid w:val="0B60281E"/>
    <w:rsid w:val="0BC31EAD"/>
    <w:rsid w:val="0C657E41"/>
    <w:rsid w:val="121511E1"/>
    <w:rsid w:val="12BC6207"/>
    <w:rsid w:val="13E86C7D"/>
    <w:rsid w:val="153F4774"/>
    <w:rsid w:val="15DE404E"/>
    <w:rsid w:val="17B02D07"/>
    <w:rsid w:val="191C3833"/>
    <w:rsid w:val="1BED4C76"/>
    <w:rsid w:val="20EA6C87"/>
    <w:rsid w:val="235356C5"/>
    <w:rsid w:val="23751392"/>
    <w:rsid w:val="2392443F"/>
    <w:rsid w:val="240A3CF7"/>
    <w:rsid w:val="241B761D"/>
    <w:rsid w:val="24386BF5"/>
    <w:rsid w:val="251C78CD"/>
    <w:rsid w:val="284D39C7"/>
    <w:rsid w:val="2AFA300F"/>
    <w:rsid w:val="2CFA00C1"/>
    <w:rsid w:val="2E307734"/>
    <w:rsid w:val="2F274F15"/>
    <w:rsid w:val="2F5B6D10"/>
    <w:rsid w:val="2FBFFAF9"/>
    <w:rsid w:val="2FFC1AF2"/>
    <w:rsid w:val="305544F5"/>
    <w:rsid w:val="3235517C"/>
    <w:rsid w:val="327753DB"/>
    <w:rsid w:val="35D515BF"/>
    <w:rsid w:val="38080E57"/>
    <w:rsid w:val="39AF5162"/>
    <w:rsid w:val="3A330817"/>
    <w:rsid w:val="3A563400"/>
    <w:rsid w:val="3A7E0E22"/>
    <w:rsid w:val="3AE66030"/>
    <w:rsid w:val="3BF37473"/>
    <w:rsid w:val="3BFFB25D"/>
    <w:rsid w:val="3FF231CB"/>
    <w:rsid w:val="43A043A4"/>
    <w:rsid w:val="43C875B2"/>
    <w:rsid w:val="472F23C1"/>
    <w:rsid w:val="494A39F0"/>
    <w:rsid w:val="4BED0338"/>
    <w:rsid w:val="4DBDDE57"/>
    <w:rsid w:val="4F8171AD"/>
    <w:rsid w:val="4FFBBBF0"/>
    <w:rsid w:val="50575F45"/>
    <w:rsid w:val="50904D63"/>
    <w:rsid w:val="51E10C52"/>
    <w:rsid w:val="546A79E5"/>
    <w:rsid w:val="54ED4051"/>
    <w:rsid w:val="56C24C57"/>
    <w:rsid w:val="57559635"/>
    <w:rsid w:val="5AF076C2"/>
    <w:rsid w:val="5BEF9B6D"/>
    <w:rsid w:val="5BFA3A9E"/>
    <w:rsid w:val="5E9F5EED"/>
    <w:rsid w:val="5EB7A8F5"/>
    <w:rsid w:val="5EF9BB16"/>
    <w:rsid w:val="5F7ECEE8"/>
    <w:rsid w:val="5FEF2E13"/>
    <w:rsid w:val="601479C9"/>
    <w:rsid w:val="601C6864"/>
    <w:rsid w:val="62E63FF7"/>
    <w:rsid w:val="650DA00C"/>
    <w:rsid w:val="67FE4DBF"/>
    <w:rsid w:val="6A2E590B"/>
    <w:rsid w:val="6A7D374C"/>
    <w:rsid w:val="6C634C69"/>
    <w:rsid w:val="6D9BC2F3"/>
    <w:rsid w:val="6DFB3F5C"/>
    <w:rsid w:val="6F4CE7FC"/>
    <w:rsid w:val="70512569"/>
    <w:rsid w:val="74860801"/>
    <w:rsid w:val="756D22AC"/>
    <w:rsid w:val="75D734E7"/>
    <w:rsid w:val="75F911A9"/>
    <w:rsid w:val="776B2DE2"/>
    <w:rsid w:val="779E4966"/>
    <w:rsid w:val="77EBAAAB"/>
    <w:rsid w:val="77F5FD24"/>
    <w:rsid w:val="78B256AC"/>
    <w:rsid w:val="7ABF3793"/>
    <w:rsid w:val="7ACF3BAC"/>
    <w:rsid w:val="7D798C03"/>
    <w:rsid w:val="7EBC9881"/>
    <w:rsid w:val="7EFF22BF"/>
    <w:rsid w:val="7F3508D4"/>
    <w:rsid w:val="7F5429E8"/>
    <w:rsid w:val="7F7BE5D7"/>
    <w:rsid w:val="7FADEE3D"/>
    <w:rsid w:val="7FBF2B60"/>
    <w:rsid w:val="7FBFABA1"/>
    <w:rsid w:val="8EBB5E63"/>
    <w:rsid w:val="95F7DD8C"/>
    <w:rsid w:val="95F95121"/>
    <w:rsid w:val="AF7FBFD5"/>
    <w:rsid w:val="B7D067F8"/>
    <w:rsid w:val="B7FD391D"/>
    <w:rsid w:val="BD739623"/>
    <w:rsid w:val="BDDE0EEF"/>
    <w:rsid w:val="BFFB85F2"/>
    <w:rsid w:val="BFFED363"/>
    <w:rsid w:val="C6DF7DE4"/>
    <w:rsid w:val="CBFD90DF"/>
    <w:rsid w:val="CFFD5F94"/>
    <w:rsid w:val="CFFFBFD8"/>
    <w:rsid w:val="D54FAC21"/>
    <w:rsid w:val="D5D72437"/>
    <w:rsid w:val="D7D0ABF0"/>
    <w:rsid w:val="D82D7013"/>
    <w:rsid w:val="DEFFC3A1"/>
    <w:rsid w:val="DF75E2A2"/>
    <w:rsid w:val="DF99F080"/>
    <w:rsid w:val="E0BEE82A"/>
    <w:rsid w:val="E6DE271E"/>
    <w:rsid w:val="EB79A7FF"/>
    <w:rsid w:val="EDB9589C"/>
    <w:rsid w:val="EFF5C031"/>
    <w:rsid w:val="EFFBC169"/>
    <w:rsid w:val="EFFD1C48"/>
    <w:rsid w:val="F3FFABE9"/>
    <w:rsid w:val="F43FA22F"/>
    <w:rsid w:val="F6C7E327"/>
    <w:rsid w:val="F77BC131"/>
    <w:rsid w:val="F796A8F1"/>
    <w:rsid w:val="F7FD25FE"/>
    <w:rsid w:val="F7FF0E77"/>
    <w:rsid w:val="FD7737AC"/>
    <w:rsid w:val="FE9F17A3"/>
    <w:rsid w:val="FF7AE7A4"/>
    <w:rsid w:val="FFBB8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200" w:firstLineChars="200"/>
      <w:jc w:val="both"/>
    </w:pPr>
    <w:rPr>
      <w:rFonts w:ascii="Times New Roman" w:hAnsi="Times New Roman" w:eastAsia="仿宋_GB2312" w:cs="宋体"/>
      <w:kern w:val="2"/>
      <w:sz w:val="30"/>
      <w:szCs w:val="24"/>
      <w:lang w:val="en-US" w:eastAsia="zh-CN" w:bidi="ar-SA"/>
    </w:rPr>
  </w:style>
  <w:style w:type="paragraph" w:styleId="3">
    <w:name w:val="heading 1"/>
    <w:basedOn w:val="1"/>
    <w:next w:val="1"/>
    <w:link w:val="27"/>
    <w:qFormat/>
    <w:uiPriority w:val="0"/>
    <w:pPr>
      <w:keepNext/>
      <w:keepLines/>
      <w:outlineLvl w:val="0"/>
    </w:pPr>
    <w:rPr>
      <w:rFonts w:eastAsia="黑体"/>
      <w:b/>
      <w:bCs/>
      <w:kern w:val="44"/>
      <w:szCs w:val="44"/>
    </w:rPr>
  </w:style>
  <w:style w:type="paragraph" w:styleId="4">
    <w:name w:val="heading 2"/>
    <w:basedOn w:val="1"/>
    <w:next w:val="1"/>
    <w:link w:val="28"/>
    <w:qFormat/>
    <w:uiPriority w:val="0"/>
    <w:pPr>
      <w:keepNext/>
      <w:keepLines/>
      <w:outlineLvl w:val="1"/>
    </w:pPr>
    <w:rPr>
      <w:rFonts w:eastAsia="楷体"/>
      <w:b/>
      <w:bCs/>
      <w:sz w:val="32"/>
      <w:szCs w:val="32"/>
    </w:rPr>
  </w:style>
  <w:style w:type="paragraph" w:styleId="5">
    <w:name w:val="heading 3"/>
    <w:basedOn w:val="1"/>
    <w:next w:val="1"/>
    <w:link w:val="29"/>
    <w:qFormat/>
    <w:uiPriority w:val="9"/>
    <w:pPr>
      <w:keepNext/>
      <w:keepLines/>
      <w:outlineLvl w:val="2"/>
    </w:pPr>
    <w:rPr>
      <w:b/>
      <w:bCs/>
      <w:szCs w:val="32"/>
    </w:rPr>
  </w:style>
  <w:style w:type="character" w:default="1" w:styleId="20">
    <w:name w:val="Default Paragraph Font"/>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link w:val="47"/>
    <w:qFormat/>
    <w:uiPriority w:val="10"/>
    <w:pPr>
      <w:jc w:val="center"/>
      <w:outlineLvl w:val="0"/>
    </w:pPr>
    <w:rPr>
      <w:rFonts w:ascii="Cambria" w:hAnsi="Cambria" w:eastAsia="方正小标宋简体"/>
    </w:rPr>
  </w:style>
  <w:style w:type="paragraph" w:styleId="6">
    <w:name w:val="Normal Indent"/>
    <w:basedOn w:val="1"/>
    <w:qFormat/>
    <w:uiPriority w:val="0"/>
    <w:pPr>
      <w:spacing w:line="240" w:lineRule="auto"/>
      <w:ind w:firstLine="420"/>
    </w:pPr>
    <w:rPr>
      <w:rFonts w:eastAsia="宋体" w:cs="Times New Roman"/>
      <w:sz w:val="21"/>
      <w:szCs w:val="20"/>
    </w:rPr>
  </w:style>
  <w:style w:type="paragraph" w:styleId="7">
    <w:name w:val="annotation text"/>
    <w:basedOn w:val="1"/>
    <w:link w:val="37"/>
    <w:qFormat/>
    <w:uiPriority w:val="0"/>
    <w:pPr>
      <w:jc w:val="left"/>
    </w:pPr>
  </w:style>
  <w:style w:type="paragraph" w:styleId="8">
    <w:name w:val="Body Text"/>
    <w:basedOn w:val="1"/>
    <w:qFormat/>
    <w:uiPriority w:val="0"/>
    <w:pPr>
      <w:widowControl/>
      <w:spacing w:line="320" w:lineRule="atLeast"/>
    </w:pPr>
    <w:rPr>
      <w:rFonts w:eastAsia="隶书"/>
      <w:b/>
      <w:kern w:val="0"/>
      <w:sz w:val="44"/>
      <w:szCs w:val="20"/>
    </w:rPr>
  </w:style>
  <w:style w:type="paragraph" w:styleId="9">
    <w:name w:val="toc 3"/>
    <w:basedOn w:val="1"/>
    <w:next w:val="1"/>
    <w:qFormat/>
    <w:uiPriority w:val="39"/>
    <w:pPr>
      <w:ind w:left="840" w:leftChars="400"/>
    </w:pPr>
  </w:style>
  <w:style w:type="paragraph" w:styleId="10">
    <w:name w:val="footer"/>
    <w:basedOn w:val="1"/>
    <w:link w:val="32"/>
    <w:qFormat/>
    <w:uiPriority w:val="99"/>
    <w:pPr>
      <w:tabs>
        <w:tab w:val="center" w:pos="4153"/>
        <w:tab w:val="right" w:pos="8306"/>
      </w:tabs>
      <w:snapToGrid w:val="0"/>
      <w:jc w:val="left"/>
    </w:pPr>
    <w:rPr>
      <w:sz w:val="18"/>
      <w:szCs w:val="18"/>
    </w:rPr>
  </w:style>
  <w:style w:type="paragraph" w:styleId="11">
    <w:name w:val="header"/>
    <w:basedOn w:val="1"/>
    <w:link w:val="3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rPr>
      <w:rFonts w:eastAsia="黑体"/>
    </w:rPr>
  </w:style>
  <w:style w:type="paragraph" w:styleId="13">
    <w:name w:val="footnote text"/>
    <w:basedOn w:val="1"/>
    <w:link w:val="35"/>
    <w:qFormat/>
    <w:uiPriority w:val="0"/>
    <w:pPr>
      <w:snapToGrid w:val="0"/>
      <w:spacing w:line="240" w:lineRule="auto"/>
      <w:ind w:firstLine="0" w:firstLineChars="0"/>
      <w:jc w:val="left"/>
    </w:pPr>
    <w:rPr>
      <w:rFonts w:ascii="等线" w:hAnsi="等线" w:eastAsia="等线"/>
      <w:sz w:val="18"/>
    </w:rPr>
  </w:style>
  <w:style w:type="paragraph" w:styleId="14">
    <w:name w:val="toc 2"/>
    <w:basedOn w:val="1"/>
    <w:next w:val="1"/>
    <w:qFormat/>
    <w:uiPriority w:val="39"/>
    <w:pPr>
      <w:ind w:left="420" w:leftChars="200"/>
    </w:pPr>
    <w:rPr>
      <w:rFonts w:eastAsia="楷体"/>
    </w:rPr>
  </w:style>
  <w:style w:type="paragraph" w:styleId="15">
    <w:name w:val="HTML Preformatted"/>
    <w:basedOn w:val="1"/>
    <w:link w:val="40"/>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ascii="宋体" w:hAnsi="宋体" w:eastAsia="宋体"/>
      <w:kern w:val="0"/>
      <w:sz w:val="24"/>
    </w:rPr>
  </w:style>
  <w:style w:type="paragraph" w:styleId="16">
    <w:name w:val="Normal (Web)"/>
    <w:basedOn w:val="1"/>
    <w:qFormat/>
    <w:uiPriority w:val="0"/>
    <w:pPr>
      <w:spacing w:beforeAutospacing="1" w:afterAutospacing="1"/>
      <w:jc w:val="left"/>
    </w:pPr>
    <w:rPr>
      <w:rFonts w:cs="Times New Roman"/>
      <w:kern w:val="0"/>
      <w:sz w:val="24"/>
    </w:rPr>
  </w:style>
  <w:style w:type="paragraph" w:styleId="17">
    <w:name w:val="annotation subject"/>
    <w:basedOn w:val="7"/>
    <w:next w:val="7"/>
    <w:link w:val="38"/>
    <w:qFormat/>
    <w:uiPriority w:val="0"/>
    <w:rPr>
      <w:b/>
      <w:bCs/>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0"/>
    <w:rPr>
      <w:b/>
    </w:rPr>
  </w:style>
  <w:style w:type="character" w:styleId="22">
    <w:name w:val="Emphasis"/>
    <w:basedOn w:val="20"/>
    <w:qFormat/>
    <w:uiPriority w:val="20"/>
    <w:rPr>
      <w:i/>
    </w:rPr>
  </w:style>
  <w:style w:type="character" w:styleId="23">
    <w:name w:val="Hyperlink"/>
    <w:basedOn w:val="20"/>
    <w:qFormat/>
    <w:uiPriority w:val="99"/>
    <w:rPr>
      <w:color w:val="0000FF"/>
      <w:u w:val="single"/>
    </w:rPr>
  </w:style>
  <w:style w:type="character" w:styleId="24">
    <w:name w:val="annotation reference"/>
    <w:basedOn w:val="20"/>
    <w:qFormat/>
    <w:uiPriority w:val="0"/>
    <w:rPr>
      <w:sz w:val="21"/>
      <w:szCs w:val="21"/>
    </w:rPr>
  </w:style>
  <w:style w:type="character" w:styleId="25">
    <w:name w:val="footnote reference"/>
    <w:basedOn w:val="20"/>
    <w:qFormat/>
    <w:uiPriority w:val="0"/>
    <w:rPr>
      <w:vertAlign w:val="superscript"/>
    </w:rPr>
  </w:style>
  <w:style w:type="paragraph" w:customStyle="1" w:styleId="26">
    <w:name w:val="无间隔1"/>
    <w:qFormat/>
    <w:uiPriority w:val="1"/>
    <w:pPr>
      <w:adjustRightInd w:val="0"/>
      <w:snapToGrid w:val="0"/>
    </w:pPr>
    <w:rPr>
      <w:rFonts w:ascii="Tahoma" w:hAnsi="Tahoma" w:eastAsia="微软雅黑" w:cs="Times New Roman"/>
      <w:sz w:val="22"/>
      <w:szCs w:val="22"/>
      <w:lang w:val="en-US" w:eastAsia="zh-CN" w:bidi="ar-SA"/>
    </w:rPr>
  </w:style>
  <w:style w:type="character" w:customStyle="1" w:styleId="27">
    <w:name w:val="标题 1 字符"/>
    <w:basedOn w:val="20"/>
    <w:link w:val="3"/>
    <w:qFormat/>
    <w:uiPriority w:val="0"/>
    <w:rPr>
      <w:rFonts w:eastAsia="黑体" w:cs="宋体"/>
      <w:b/>
      <w:bCs/>
      <w:kern w:val="44"/>
      <w:sz w:val="30"/>
      <w:szCs w:val="44"/>
    </w:rPr>
  </w:style>
  <w:style w:type="character" w:customStyle="1" w:styleId="28">
    <w:name w:val="标题 2 字符"/>
    <w:basedOn w:val="20"/>
    <w:link w:val="4"/>
    <w:qFormat/>
    <w:uiPriority w:val="0"/>
    <w:rPr>
      <w:rFonts w:eastAsia="楷体" w:cs="宋体"/>
      <w:b/>
      <w:bCs/>
      <w:kern w:val="2"/>
      <w:sz w:val="32"/>
      <w:szCs w:val="32"/>
    </w:rPr>
  </w:style>
  <w:style w:type="character" w:customStyle="1" w:styleId="29">
    <w:name w:val="标题 3 字符"/>
    <w:basedOn w:val="20"/>
    <w:link w:val="5"/>
    <w:qFormat/>
    <w:uiPriority w:val="0"/>
    <w:rPr>
      <w:rFonts w:eastAsia="仿宋_GB2312" w:cs="宋体"/>
      <w:b/>
      <w:bCs/>
      <w:sz w:val="30"/>
      <w:szCs w:val="32"/>
    </w:rPr>
  </w:style>
  <w:style w:type="paragraph" w:customStyle="1" w:styleId="30">
    <w:name w:val="样式1"/>
    <w:basedOn w:val="3"/>
    <w:qFormat/>
    <w:uiPriority w:val="0"/>
    <w:pPr>
      <w:ind w:firstLine="602"/>
    </w:pPr>
    <w:rPr>
      <w:sz w:val="32"/>
    </w:rPr>
  </w:style>
  <w:style w:type="character" w:customStyle="1" w:styleId="31">
    <w:name w:val="页眉 字符"/>
    <w:basedOn w:val="20"/>
    <w:link w:val="11"/>
    <w:qFormat/>
    <w:uiPriority w:val="0"/>
    <w:rPr>
      <w:rFonts w:ascii="等线" w:hAnsi="等线" w:eastAsia="等线" w:cs="宋体"/>
      <w:sz w:val="18"/>
      <w:szCs w:val="18"/>
    </w:rPr>
  </w:style>
  <w:style w:type="character" w:customStyle="1" w:styleId="32">
    <w:name w:val="页脚 字符"/>
    <w:basedOn w:val="20"/>
    <w:link w:val="10"/>
    <w:qFormat/>
    <w:uiPriority w:val="99"/>
    <w:rPr>
      <w:rFonts w:ascii="等线" w:hAnsi="等线" w:eastAsia="等线" w:cs="宋体"/>
      <w:sz w:val="18"/>
      <w:szCs w:val="18"/>
    </w:rPr>
  </w:style>
  <w:style w:type="paragraph" w:customStyle="1" w:styleId="33">
    <w:name w:val="标准报告样式"/>
    <w:basedOn w:val="3"/>
    <w:qFormat/>
    <w:uiPriority w:val="0"/>
    <w:rPr>
      <w:b w:val="0"/>
      <w:bCs w:val="0"/>
      <w:sz w:val="28"/>
      <w:szCs w:val="28"/>
    </w:rPr>
  </w:style>
  <w:style w:type="paragraph" w:styleId="34">
    <w:name w:val="List Paragraph"/>
    <w:basedOn w:val="1"/>
    <w:qFormat/>
    <w:uiPriority w:val="99"/>
    <w:pPr>
      <w:ind w:firstLine="420"/>
    </w:pPr>
  </w:style>
  <w:style w:type="character" w:customStyle="1" w:styleId="35">
    <w:name w:val="脚注文本 字符"/>
    <w:basedOn w:val="20"/>
    <w:link w:val="13"/>
    <w:qFormat/>
    <w:uiPriority w:val="0"/>
    <w:rPr>
      <w:rFonts w:ascii="等线" w:hAnsi="等线" w:eastAsia="等线" w:cs="宋体"/>
      <w:sz w:val="18"/>
      <w:szCs w:val="24"/>
    </w:rPr>
  </w:style>
  <w:style w:type="paragraph" w:customStyle="1" w:styleId="36">
    <w:name w:val="无间隔11"/>
    <w:qFormat/>
    <w:uiPriority w:val="1"/>
    <w:pPr>
      <w:adjustRightInd w:val="0"/>
      <w:snapToGrid w:val="0"/>
    </w:pPr>
    <w:rPr>
      <w:rFonts w:ascii="Tahoma" w:hAnsi="Tahoma" w:eastAsia="微软雅黑" w:cs="Times New Roman"/>
      <w:sz w:val="22"/>
      <w:szCs w:val="22"/>
      <w:lang w:val="en-US" w:eastAsia="zh-CN" w:bidi="ar-SA"/>
    </w:rPr>
  </w:style>
  <w:style w:type="character" w:customStyle="1" w:styleId="37">
    <w:name w:val="批注文字 字符"/>
    <w:basedOn w:val="20"/>
    <w:link w:val="7"/>
    <w:qFormat/>
    <w:uiPriority w:val="0"/>
    <w:rPr>
      <w:rFonts w:eastAsia="仿宋_GB2312" w:cs="宋体"/>
      <w:sz w:val="30"/>
      <w:szCs w:val="24"/>
    </w:rPr>
  </w:style>
  <w:style w:type="character" w:customStyle="1" w:styleId="38">
    <w:name w:val="批注主题 字符"/>
    <w:basedOn w:val="37"/>
    <w:link w:val="17"/>
    <w:qFormat/>
    <w:uiPriority w:val="0"/>
    <w:rPr>
      <w:rFonts w:eastAsia="仿宋_GB2312" w:cs="宋体"/>
      <w:b/>
      <w:bCs/>
      <w:sz w:val="30"/>
      <w:szCs w:val="24"/>
    </w:rPr>
  </w:style>
  <w:style w:type="character" w:customStyle="1" w:styleId="39">
    <w:name w:val="ask-title"/>
    <w:basedOn w:val="20"/>
    <w:qFormat/>
    <w:uiPriority w:val="0"/>
  </w:style>
  <w:style w:type="character" w:customStyle="1" w:styleId="40">
    <w:name w:val="HTML 预设格式 字符"/>
    <w:basedOn w:val="20"/>
    <w:link w:val="15"/>
    <w:qFormat/>
    <w:uiPriority w:val="99"/>
    <w:rPr>
      <w:rFonts w:ascii="宋体" w:hAnsi="宋体" w:cs="宋体"/>
      <w:kern w:val="0"/>
      <w:sz w:val="24"/>
      <w:szCs w:val="24"/>
    </w:rPr>
  </w:style>
  <w:style w:type="paragraph" w:customStyle="1" w:styleId="41">
    <w:name w:val="UserStyle_0"/>
    <w:qFormat/>
    <w:uiPriority w:val="0"/>
    <w:pPr>
      <w:snapToGrid w:val="0"/>
    </w:pPr>
    <w:rPr>
      <w:rFonts w:ascii="Tahoma" w:hAnsi="Tahoma" w:eastAsia="微软雅黑" w:cs="Times New Roman"/>
      <w:sz w:val="22"/>
      <w:szCs w:val="22"/>
      <w:lang w:val="en-US" w:eastAsia="zh-CN" w:bidi="ar-SA"/>
    </w:rPr>
  </w:style>
  <w:style w:type="character" w:customStyle="1" w:styleId="42">
    <w:name w:val="font01"/>
    <w:basedOn w:val="20"/>
    <w:qFormat/>
    <w:uiPriority w:val="0"/>
    <w:rPr>
      <w:rFonts w:hint="eastAsia" w:ascii="微软雅黑" w:hAnsi="微软雅黑" w:eastAsia="微软雅黑" w:cs="微软雅黑"/>
      <w:b/>
      <w:bCs/>
      <w:color w:val="000000"/>
      <w:sz w:val="16"/>
      <w:szCs w:val="16"/>
      <w:u w:val="none"/>
    </w:rPr>
  </w:style>
  <w:style w:type="character" w:customStyle="1" w:styleId="43">
    <w:name w:val="font21"/>
    <w:basedOn w:val="20"/>
    <w:qFormat/>
    <w:uiPriority w:val="0"/>
    <w:rPr>
      <w:rFonts w:hint="eastAsia" w:ascii="微软雅黑" w:hAnsi="微软雅黑" w:eastAsia="微软雅黑" w:cs="微软雅黑"/>
      <w:color w:val="000000"/>
      <w:sz w:val="16"/>
      <w:szCs w:val="16"/>
      <w:u w:val="none"/>
    </w:rPr>
  </w:style>
  <w:style w:type="character" w:customStyle="1" w:styleId="44">
    <w:name w:val="font31"/>
    <w:basedOn w:val="20"/>
    <w:qFormat/>
    <w:uiPriority w:val="0"/>
    <w:rPr>
      <w:rFonts w:hint="eastAsia" w:ascii="微软雅黑" w:hAnsi="微软雅黑" w:eastAsia="微软雅黑" w:cs="微软雅黑"/>
      <w:color w:val="FF0000"/>
      <w:sz w:val="16"/>
      <w:szCs w:val="16"/>
      <w:u w:val="none"/>
    </w:rPr>
  </w:style>
  <w:style w:type="character" w:customStyle="1" w:styleId="45">
    <w:name w:val="font11"/>
    <w:basedOn w:val="20"/>
    <w:qFormat/>
    <w:uiPriority w:val="0"/>
    <w:rPr>
      <w:rFonts w:hint="eastAsia" w:ascii="微软雅黑" w:hAnsi="微软雅黑" w:eastAsia="微软雅黑" w:cs="微软雅黑"/>
      <w:color w:val="000000"/>
      <w:sz w:val="16"/>
      <w:szCs w:val="16"/>
      <w:u w:val="none"/>
    </w:rPr>
  </w:style>
  <w:style w:type="paragraph" w:customStyle="1" w:styleId="46">
    <w:name w:val="修订1"/>
    <w:qFormat/>
    <w:uiPriority w:val="99"/>
    <w:rPr>
      <w:rFonts w:ascii="Times New Roman" w:hAnsi="Times New Roman" w:eastAsia="仿宋_GB2312" w:cs="宋体"/>
      <w:kern w:val="2"/>
      <w:sz w:val="30"/>
      <w:szCs w:val="24"/>
      <w:lang w:val="en-US" w:eastAsia="zh-CN" w:bidi="ar-SA"/>
    </w:rPr>
  </w:style>
  <w:style w:type="character" w:customStyle="1" w:styleId="47">
    <w:name w:val="标题 字符"/>
    <w:basedOn w:val="20"/>
    <w:link w:val="2"/>
    <w:qFormat/>
    <w:uiPriority w:val="10"/>
    <w:rPr>
      <w:rFonts w:ascii="Cambria" w:hAnsi="Cambria" w:eastAsia="方正小标宋简体" w:cs="宋体"/>
      <w:kern w:val="2"/>
      <w:sz w:val="30"/>
      <w:szCs w:val="24"/>
    </w:rPr>
  </w:style>
  <w:style w:type="paragraph" w:customStyle="1" w:styleId="48">
    <w:name w:val="修订2"/>
    <w:qFormat/>
    <w:uiPriority w:val="99"/>
    <w:rPr>
      <w:rFonts w:ascii="Times New Roman" w:hAnsi="Times New Roman" w:eastAsia="仿宋_GB2312" w:cs="宋体"/>
      <w:kern w:val="2"/>
      <w:sz w:val="30"/>
      <w:szCs w:val="24"/>
      <w:lang w:val="en-US" w:eastAsia="zh-CN" w:bidi="ar-SA"/>
    </w:rPr>
  </w:style>
  <w:style w:type="paragraph" w:customStyle="1" w:styleId="49">
    <w:name w:val="修订3"/>
    <w:qFormat/>
    <w:uiPriority w:val="99"/>
    <w:rPr>
      <w:rFonts w:ascii="Times New Roman" w:hAnsi="Times New Roman" w:eastAsia="仿宋_GB2312" w:cs="宋体"/>
      <w:kern w:val="2"/>
      <w:sz w:val="30"/>
      <w:szCs w:val="24"/>
      <w:lang w:val="en-US" w:eastAsia="zh-CN" w:bidi="ar-SA"/>
    </w:rPr>
  </w:style>
  <w:style w:type="character" w:customStyle="1" w:styleId="50">
    <w:name w:val="font51"/>
    <w:basedOn w:val="20"/>
    <w:qFormat/>
    <w:uiPriority w:val="0"/>
    <w:rPr>
      <w:rFonts w:hint="default" w:ascii="仿宋_GB2312" w:eastAsia="仿宋_GB2312" w:cs="仿宋_GB2312"/>
      <w:b/>
      <w:bCs/>
      <w:color w:val="C00000"/>
      <w:sz w:val="24"/>
      <w:szCs w:val="24"/>
      <w:u w:val="none"/>
    </w:rPr>
  </w:style>
  <w:style w:type="character" w:customStyle="1" w:styleId="51">
    <w:name w:val="font61"/>
    <w:basedOn w:val="20"/>
    <w:qFormat/>
    <w:uiPriority w:val="0"/>
    <w:rPr>
      <w:rFonts w:hint="default" w:ascii="Times New Roman" w:hAnsi="Times New Roman" w:cs="Times New Roman"/>
      <w:color w:val="000000"/>
      <w:sz w:val="24"/>
      <w:szCs w:val="24"/>
      <w:u w:val="none"/>
    </w:rPr>
  </w:style>
  <w:style w:type="character" w:customStyle="1" w:styleId="52">
    <w:name w:val="font71"/>
    <w:basedOn w:val="20"/>
    <w:qFormat/>
    <w:uiPriority w:val="0"/>
    <w:rPr>
      <w:rFonts w:hint="default" w:ascii="仿宋_GB2312" w:eastAsia="仿宋_GB2312" w:cs="仿宋_GB2312"/>
      <w:color w:val="C00000"/>
      <w:sz w:val="24"/>
      <w:szCs w:val="24"/>
      <w:u w:val="none"/>
    </w:rPr>
  </w:style>
  <w:style w:type="character" w:customStyle="1" w:styleId="53">
    <w:name w:val="font41"/>
    <w:basedOn w:val="20"/>
    <w:qFormat/>
    <w:uiPriority w:val="0"/>
    <w:rPr>
      <w:rFonts w:hint="default" w:ascii="Times New Roman" w:hAnsi="Times New Roman" w:cs="Times New Roman"/>
      <w:color w:val="C00000"/>
      <w:sz w:val="24"/>
      <w:szCs w:val="24"/>
      <w:u w:val="none"/>
    </w:rPr>
  </w:style>
  <w:style w:type="character" w:customStyle="1" w:styleId="54">
    <w:name w:val="font81"/>
    <w:basedOn w:val="20"/>
    <w:qFormat/>
    <w:uiPriority w:val="0"/>
    <w:rPr>
      <w:rFonts w:hint="default" w:ascii="Times New Roman" w:hAnsi="Times New Roman" w:cs="Times New Roman"/>
      <w:strike/>
      <w:color w:val="C00000"/>
      <w:sz w:val="24"/>
      <w:szCs w:val="24"/>
    </w:rPr>
  </w:style>
  <w:style w:type="paragraph" w:customStyle="1" w:styleId="55">
    <w:name w:val="修订4"/>
    <w:qFormat/>
    <w:uiPriority w:val="99"/>
    <w:rPr>
      <w:rFonts w:ascii="Times New Roman" w:hAnsi="Times New Roman" w:eastAsia="仿宋_GB2312" w:cs="宋体"/>
      <w:kern w:val="2"/>
      <w:sz w:val="30"/>
      <w:szCs w:val="24"/>
      <w:lang w:val="en-US" w:eastAsia="zh-CN" w:bidi="ar-SA"/>
    </w:rPr>
  </w:style>
  <w:style w:type="paragraph" w:customStyle="1" w:styleId="56">
    <w:name w:val="Revision_cd3b1b17-310f-468f-92ee-10a1ff6b6cc2"/>
    <w:qFormat/>
    <w:uiPriority w:val="99"/>
    <w:rPr>
      <w:rFonts w:ascii="Times New Roman" w:hAnsi="Times New Roman" w:eastAsia="仿宋_GB2312" w:cs="宋体"/>
      <w:kern w:val="2"/>
      <w:sz w:val="30"/>
      <w:szCs w:val="24"/>
      <w:lang w:val="en-US" w:eastAsia="zh-CN" w:bidi="ar-SA"/>
    </w:rPr>
  </w:style>
  <w:style w:type="paragraph" w:customStyle="1" w:styleId="57">
    <w:name w:val="修订5"/>
    <w:hidden/>
    <w:unhideWhenUsed/>
    <w:qFormat/>
    <w:uiPriority w:val="99"/>
    <w:rPr>
      <w:rFonts w:ascii="Times New Roman" w:hAnsi="Times New Roman" w:eastAsia="仿宋_GB2312" w:cs="宋体"/>
      <w:kern w:val="2"/>
      <w:sz w:val="30"/>
      <w:szCs w:val="24"/>
      <w:lang w:val="en-US" w:eastAsia="zh-CN" w:bidi="ar-SA"/>
    </w:rPr>
  </w:style>
  <w:style w:type="paragraph" w:customStyle="1" w:styleId="58">
    <w:name w:val="修订6"/>
    <w:hidden/>
    <w:unhideWhenUsed/>
    <w:qFormat/>
    <w:uiPriority w:val="99"/>
    <w:rPr>
      <w:rFonts w:ascii="Times New Roman" w:hAnsi="Times New Roman" w:eastAsia="仿宋_GB2312" w:cs="宋体"/>
      <w:kern w:val="2"/>
      <w:sz w:val="30"/>
      <w:szCs w:val="24"/>
      <w:lang w:val="en-US" w:eastAsia="zh-CN" w:bidi="ar-SA"/>
    </w:rPr>
  </w:style>
  <w:style w:type="paragraph" w:customStyle="1" w:styleId="59">
    <w:name w:val="修订7"/>
    <w:hidden/>
    <w:unhideWhenUsed/>
    <w:qFormat/>
    <w:uiPriority w:val="99"/>
    <w:rPr>
      <w:rFonts w:ascii="Times New Roman" w:hAnsi="Times New Roman" w:eastAsia="仿宋_GB2312" w:cs="宋体"/>
      <w:kern w:val="2"/>
      <w:sz w:val="30"/>
      <w:szCs w:val="24"/>
      <w:lang w:val="en-US" w:eastAsia="zh-CN" w:bidi="ar-SA"/>
    </w:rPr>
  </w:style>
  <w:style w:type="paragraph" w:customStyle="1" w:styleId="60">
    <w:name w:val="Revision"/>
    <w:hidden/>
    <w:unhideWhenUsed/>
    <w:qFormat/>
    <w:uiPriority w:val="99"/>
    <w:rPr>
      <w:rFonts w:ascii="Times New Roman" w:hAnsi="Times New Roman" w:eastAsia="仿宋_GB2312" w:cs="宋体"/>
      <w:kern w:val="2"/>
      <w:sz w:val="30"/>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1073</Words>
  <Characters>6122</Characters>
  <Lines>51</Lines>
  <Paragraphs>14</Paragraphs>
  <TotalTime>4</TotalTime>
  <ScaleCrop>false</ScaleCrop>
  <LinksUpToDate>false</LinksUpToDate>
  <CharactersWithSpaces>7181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2023-11-14T08:56:00Z</dcterms:created>
  <dc:creator>娜 李</dc:creator>
  <cp:lastModifiedBy>小狸</cp:lastModifiedBy>
  <cp:lastPrinted>2023-10-14T23:08:00Z</cp:lastPrinted>
  <dcterms:modified xsi:type="dcterms:W3CDTF">2023-11-17T03:01:41Z</dcterms:modified>
  <cp:revision>132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70CAA5BD2F0D45C69911C0F0280DE6A7_13</vt:lpwstr>
  </property>
</Properties>
</file>