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364"/>
        </w:tabs>
        <w:adjustRightInd w:val="0"/>
        <w:snapToGrid w:val="0"/>
        <w:spacing w:before="65" w:beforeLines="20"/>
        <w:rPr>
          <w:color w:val="FF0000"/>
        </w:rPr>
      </w:pPr>
      <w:r>
        <w:rPr>
          <w:rFonts w:hint="eastAsia"/>
          <w:color w:val="FF0000"/>
        </w:rPr>
        <w:t>提案内容：</w:t>
      </w:r>
    </w:p>
    <w:p>
      <w:pPr>
        <w:spacing w:before="65"/>
        <w:jc w:val="center"/>
        <w:rPr>
          <w:rFonts w:ascii="黑体" w:hAnsi="黑体" w:eastAsia="黑体"/>
          <w:b/>
          <w:sz w:val="44"/>
          <w:szCs w:val="44"/>
        </w:rPr>
      </w:pPr>
      <w:bookmarkStart w:id="0" w:name="casetitle2"/>
      <w:r>
        <w:rPr>
          <w:rFonts w:ascii="黑体" w:hAnsi="黑体" w:eastAsia="黑体"/>
          <w:b/>
          <w:sz w:val="44"/>
          <w:szCs w:val="44"/>
        </w:rPr>
        <w:t>关于持续提升上海农田和绿林地土壤质量 共筑城市</w:t>
      </w:r>
      <w:bookmarkStart w:id="1" w:name="_GoBack"/>
      <w:bookmarkEnd w:id="1"/>
      <w:r>
        <w:rPr>
          <w:rFonts w:ascii="黑体" w:hAnsi="黑体" w:eastAsia="黑体"/>
          <w:b/>
          <w:sz w:val="44"/>
          <w:szCs w:val="44"/>
        </w:rPr>
        <w:t>粮食和生态安全助力无废城市建设的提案</w:t>
      </w:r>
      <w:bookmarkEnd w:id="0"/>
    </w:p>
    <w:p>
      <w:pPr>
        <w:spacing w:before="65"/>
        <w:jc w:val="center"/>
        <w:rPr>
          <w:rFonts w:ascii="黑体" w:hAnsi="黑体" w:eastAsia="黑体"/>
          <w:b/>
          <w:sz w:val="44"/>
          <w:szCs w:val="44"/>
        </w:rPr>
      </w:pPr>
    </w:p>
    <w:p>
      <w:pPr>
        <w:spacing w:before="65"/>
        <w:rPr>
          <w:rFonts w:ascii="黑体" w:hAnsi="黑体" w:eastAsia="黑体"/>
          <w:b/>
          <w:sz w:val="44"/>
          <w:szCs w:val="44"/>
        </w:rPr>
      </w:pPr>
    </w:p>
    <w:p>
      <w:pPr>
        <w:pStyle w:val="16"/>
      </w:pPr>
      <w:r>
        <w:rPr>
          <w:rFonts w:ascii="宋体" w:hAnsi="宋体" w:cs="宋体"/>
          <w:b/>
          <w:color w:val="FF0000"/>
          <w:sz w:val="36"/>
        </w:rPr>
        <w:t>※背景情况※</w:t>
      </w:r>
    </w:p>
    <w:p>
      <w:pPr>
        <w:pStyle w:val="16"/>
        <w:ind w:firstLine="640" w:firstLineChars="200"/>
        <w:rPr>
          <w:rFonts w:ascii="仿宋" w:hAnsi="仿宋" w:eastAsia="仿宋" w:cs="仿宋"/>
          <w:sz w:val="32"/>
          <w:szCs w:val="32"/>
        </w:rPr>
      </w:pPr>
      <w:r>
        <w:rPr>
          <w:rFonts w:hint="eastAsia" w:ascii="仿宋" w:hAnsi="仿宋" w:eastAsia="仿宋" w:cs="仿宋"/>
          <w:sz w:val="32"/>
          <w:szCs w:val="32"/>
        </w:rPr>
        <w:t>2023年本市沪府办发〔2023〕2号《上海市“无废城市”建设工作方案》，明确“无废城市”是以新发展理念为引领，通过推动形成绿色发展方式和生活方式，将固体废物环境影响降至最低的一种先进的城市环境管理理念。同年，中办发〔2023〕43号《关于推动盐碱地综合利用的意见》，将盐碱地治理、土壤改良和综合利用上升到保障粮食和生态安全的战略高度，</w:t>
      </w:r>
      <w:r>
        <w:rPr>
          <w:rFonts w:hint="eastAsia" w:ascii="仿宋" w:hAnsi="仿宋" w:eastAsia="仿宋" w:cs="仿宋"/>
          <w:sz w:val="32"/>
          <w:szCs w:val="32"/>
          <w:highlight w:val="yellow"/>
        </w:rPr>
        <w:t>能否利用废弃物，改良提升土壤质量？</w:t>
      </w:r>
    </w:p>
    <w:p>
      <w:pPr>
        <w:pStyle w:val="16"/>
      </w:pPr>
      <w:r>
        <w:rPr>
          <w:rFonts w:ascii="宋体" w:hAnsi="宋体" w:cs="宋体"/>
          <w:b/>
          <w:color w:val="FF0000"/>
          <w:sz w:val="36"/>
        </w:rPr>
        <w:t>――――――――――――――――――――――</w:t>
      </w:r>
    </w:p>
    <w:p>
      <w:pPr>
        <w:pStyle w:val="16"/>
      </w:pPr>
      <w:r>
        <w:rPr>
          <w:rFonts w:ascii="宋体" w:hAnsi="宋体" w:cs="宋体"/>
          <w:b/>
          <w:color w:val="FF0000"/>
          <w:sz w:val="36"/>
        </w:rPr>
        <w:t>※问题及分析※</w:t>
      </w:r>
    </w:p>
    <w:p>
      <w:pPr>
        <w:pStyle w:val="16"/>
        <w:ind w:firstLine="640" w:firstLineChars="200"/>
        <w:rPr>
          <w:rFonts w:ascii="仿宋" w:hAnsi="仿宋" w:eastAsia="仿宋" w:cs="仿宋"/>
          <w:sz w:val="32"/>
          <w:szCs w:val="32"/>
        </w:rPr>
      </w:pPr>
      <w:r>
        <w:rPr>
          <w:rFonts w:hint="eastAsia" w:ascii="仿宋" w:hAnsi="仿宋" w:eastAsia="仿宋" w:cs="仿宋"/>
          <w:sz w:val="32"/>
          <w:szCs w:val="32"/>
        </w:rPr>
        <w:t>一方面</w:t>
      </w:r>
      <w:r>
        <w:rPr>
          <w:rFonts w:hint="eastAsia" w:ascii="仿宋" w:hAnsi="仿宋" w:eastAsia="仿宋" w:cs="仿宋"/>
          <w:sz w:val="32"/>
          <w:szCs w:val="32"/>
          <w:highlight w:val="yellow"/>
        </w:rPr>
        <w:t>上海土壤普遍地力等级差、有机质含量低。</w:t>
      </w:r>
      <w:r>
        <w:rPr>
          <w:rFonts w:hint="eastAsia" w:ascii="仿宋" w:hAnsi="仿宋" w:eastAsia="仿宋" w:cs="仿宋"/>
          <w:sz w:val="32"/>
          <w:szCs w:val="32"/>
        </w:rPr>
        <w:t>因地处长江口和东海岸，</w:t>
      </w:r>
      <w:r>
        <w:rPr>
          <w:rFonts w:hint="eastAsia" w:ascii="仿宋" w:hAnsi="仿宋" w:eastAsia="仿宋" w:cs="仿宋"/>
          <w:sz w:val="32"/>
          <w:szCs w:val="32"/>
          <w:highlight w:val="yellow"/>
        </w:rPr>
        <w:t>土壤普遍存在盐碱严重、质地黏重和通气透水性差等缺陷，</w:t>
      </w:r>
      <w:r>
        <w:rPr>
          <w:rFonts w:hint="eastAsia" w:ascii="仿宋" w:hAnsi="仿宋" w:eastAsia="仿宋" w:cs="仿宋"/>
          <w:sz w:val="32"/>
          <w:szCs w:val="32"/>
        </w:rPr>
        <w:t>加上过量施用化肥等不合理耕作和土壤改良投入费用低，除耕地土壤有机质含量略高外，土壤质量总体不高。如：现在碰到的“瓜不甜、菜不香、果无味”等都与土壤质量退化特别是土壤有机质缺乏直接相关。</w:t>
      </w:r>
      <w:r>
        <w:rPr>
          <w:rFonts w:hint="eastAsia" w:ascii="仿宋" w:hAnsi="仿宋" w:eastAsia="仿宋" w:cs="仿宋"/>
          <w:sz w:val="32"/>
          <w:szCs w:val="32"/>
          <w:highlight w:val="yellow"/>
        </w:rPr>
        <w:t>很多果园土壤有机质含量仅有1%左右，</w:t>
      </w:r>
      <w:r>
        <w:rPr>
          <w:rFonts w:hint="eastAsia" w:ascii="仿宋" w:hAnsi="仿宋" w:eastAsia="仿宋" w:cs="仿宋"/>
          <w:sz w:val="32"/>
          <w:szCs w:val="32"/>
        </w:rPr>
        <w:t>光靠化肥催肥出水果品质肯定大打折扣。同时，据2014~2016年对上海市整个绿地土壤调查，土壤有机质含量平均仅有1.19%，中心城区绿地和公园土壤有机质含量虽略高，但大部分低于2%，这与迪士尼要求有机质大于3%差距较远。</w:t>
      </w:r>
    </w:p>
    <w:p>
      <w:pPr>
        <w:pStyle w:val="16"/>
        <w:ind w:firstLine="640" w:firstLineChars="200"/>
      </w:pPr>
      <w:r>
        <w:rPr>
          <w:rFonts w:hint="eastAsia" w:ascii="仿宋" w:hAnsi="仿宋" w:eastAsia="仿宋" w:cs="仿宋"/>
          <w:sz w:val="32"/>
          <w:szCs w:val="32"/>
        </w:rPr>
        <w:t>另一方面土壤改良没有与上海“无废城市”建设紧密结合。虽开展秸秆还田、畜禽粪便、绿化植物废弃物处置等综合利用，发布了沪绿容〔2021〕385号《关于加强本市绿化废弃物资源化利用的指导意见》，但总体上，废弃物利用缺少顶层设计，大部分废弃物处置场地都是小作坊，处置水平较低，没有形成系列化的土壤改良产品，更未形成有影响力的产业和龙头企业。对土壤改良效果较好诸如生活污泥、发电厂脱硫废弃物脱硫石膏等利用较少，目前只有上海老港生态廊道和大治河一期生态廊道脱硫石膏改良土壤2个案例。</w:t>
      </w:r>
    </w:p>
    <w:p>
      <w:pPr>
        <w:pStyle w:val="16"/>
      </w:pPr>
      <w:r>
        <w:rPr>
          <w:rFonts w:ascii="宋体" w:hAnsi="宋体" w:cs="宋体"/>
          <w:b/>
          <w:color w:val="FF0000"/>
          <w:sz w:val="36"/>
        </w:rPr>
        <w:t>――――――――――――――――――――――</w:t>
      </w:r>
    </w:p>
    <w:p>
      <w:pPr>
        <w:pStyle w:val="16"/>
      </w:pPr>
      <w:r>
        <w:rPr>
          <w:rFonts w:ascii="宋体" w:hAnsi="宋体" w:cs="宋体"/>
          <w:b/>
          <w:color w:val="FF0000"/>
          <w:sz w:val="36"/>
        </w:rPr>
        <w:t>※建议※</w:t>
      </w:r>
    </w:p>
    <w:p>
      <w:pPr>
        <w:pStyle w:val="16"/>
        <w:ind w:firstLine="643" w:firstLineChars="200"/>
        <w:rPr>
          <w:rFonts w:ascii="仿宋" w:hAnsi="仿宋" w:eastAsia="仿宋" w:cs="仿宋"/>
          <w:sz w:val="32"/>
          <w:szCs w:val="32"/>
        </w:rPr>
      </w:pPr>
      <w:r>
        <w:rPr>
          <w:rFonts w:hint="eastAsia" w:ascii="楷体" w:hAnsi="楷体" w:eastAsia="楷体" w:cs="楷体"/>
          <w:b/>
          <w:bCs/>
          <w:sz w:val="32"/>
          <w:szCs w:val="32"/>
        </w:rPr>
        <w:t>1、制定耕地和绿林地不同阶段的土壤改良目标。</w:t>
      </w:r>
      <w:r>
        <w:rPr>
          <w:rFonts w:hint="eastAsia" w:ascii="仿宋" w:hAnsi="仿宋" w:eastAsia="仿宋" w:cs="仿宋"/>
          <w:sz w:val="32"/>
          <w:szCs w:val="32"/>
        </w:rPr>
        <w:t>土壤养分积累和质量提升是个过程，要根据上海位于长江中下游的立地条件和现有耕地、园地、绿地的质量现状，制定阶段性改良目标，不能脱离受海水侵蚀严重的成土条件以及有机质矿化分解快的自然条件，一蹴而就，不仅不有利于土壤质量长期稳定，反而会影响区域生态平衡，造成土壤改良投入浪费。如一次土壤改良降低pH的幅度不宜超过1个单位。要杜绝提出类似一年内将土壤提高到一级耕地质量标准，即有机质提高到4%、pH降低到6.5等违背自然规律的改良目标。</w:t>
      </w:r>
    </w:p>
    <w:p>
      <w:pPr>
        <w:pStyle w:val="16"/>
        <w:ind w:firstLine="643" w:firstLineChars="200"/>
        <w:rPr>
          <w:rFonts w:ascii="仿宋" w:hAnsi="仿宋" w:eastAsia="仿宋" w:cs="仿宋"/>
          <w:sz w:val="32"/>
          <w:szCs w:val="32"/>
        </w:rPr>
      </w:pPr>
      <w:r>
        <w:rPr>
          <w:rFonts w:hint="eastAsia" w:ascii="楷体" w:hAnsi="楷体" w:eastAsia="楷体" w:cs="楷体"/>
          <w:b/>
          <w:bCs/>
          <w:sz w:val="32"/>
          <w:szCs w:val="32"/>
        </w:rPr>
        <w:t>2、将土壤质量提升和“无废”城市建设相结合，带动相关产业发展。</w:t>
      </w:r>
      <w:r>
        <w:rPr>
          <w:rFonts w:hint="eastAsia" w:ascii="仿宋" w:hAnsi="仿宋" w:eastAsia="仿宋" w:cs="仿宋"/>
          <w:sz w:val="32"/>
          <w:szCs w:val="32"/>
        </w:rPr>
        <w:t>根据耕地、绿地、林地、园地等不同土地利用类型，细分不同废弃物利用途径和方式，在传统的秸秆、畜禽粪便、绿化植物废弃物利用基础上，就炭化污泥等污泥处置新技术，探索污泥、厨余垃圾、脱硫石膏等废弃物利用。加大扶持重点企业，鼓励开发土壤改良利用系列化产品，通过龙头企业发展，形成有一定规模的废弃物循环产业。</w:t>
      </w:r>
    </w:p>
    <w:p>
      <w:pPr>
        <w:pStyle w:val="16"/>
        <w:ind w:firstLine="643" w:firstLineChars="200"/>
        <w:rPr>
          <w:rFonts w:ascii="仿宋" w:hAnsi="仿宋" w:eastAsia="仿宋" w:cs="仿宋"/>
          <w:sz w:val="32"/>
          <w:szCs w:val="32"/>
        </w:rPr>
      </w:pPr>
      <w:r>
        <w:rPr>
          <w:rFonts w:hint="eastAsia" w:ascii="楷体" w:hAnsi="楷体" w:eastAsia="楷体" w:cs="楷体"/>
          <w:b/>
          <w:bCs/>
          <w:sz w:val="32"/>
          <w:szCs w:val="32"/>
        </w:rPr>
        <w:t>3、提高土壤改良造价，改变传统投入占比模式。</w:t>
      </w:r>
      <w:r>
        <w:rPr>
          <w:rFonts w:hint="eastAsia" w:ascii="仿宋" w:hAnsi="仿宋" w:eastAsia="仿宋" w:cs="仿宋"/>
          <w:sz w:val="32"/>
          <w:szCs w:val="32"/>
        </w:rPr>
        <w:t>要将土壤改良费用纳入相关预算，提高投入占比。如上海迪士尼建设土壤改良投入占整个绿化工程造价50%以上，虽远高于一般绿化工程预算中土壤改良费用不超过10%，但2015年建成后的景观效果验证了当初投入是物有所值。再如，土壤改良对农田土壤改善不能仅局限在提高作物产量，要综合考虑作物品质提升带来的收益，以及对生态环境质量的正面效益。现市面上也有很多地产高品质蔬果，这与果园着力提升土壤有机质分不开的。</w:t>
      </w:r>
    </w:p>
    <w:p>
      <w:pPr>
        <w:pStyle w:val="16"/>
        <w:ind w:firstLine="643" w:firstLineChars="200"/>
      </w:pPr>
      <w:r>
        <w:rPr>
          <w:rFonts w:hint="eastAsia" w:ascii="楷体" w:hAnsi="楷体" w:eastAsia="楷体" w:cs="楷体"/>
          <w:b/>
          <w:bCs/>
          <w:sz w:val="32"/>
          <w:szCs w:val="32"/>
        </w:rPr>
        <w:t>4、结合重大工程建设，树立土壤质量典型示范引领。</w:t>
      </w:r>
      <w:r>
        <w:rPr>
          <w:rFonts w:hint="eastAsia" w:ascii="仿宋" w:hAnsi="仿宋" w:eastAsia="仿宋" w:cs="仿宋"/>
          <w:sz w:val="32"/>
          <w:szCs w:val="32"/>
        </w:rPr>
        <w:t>结合上海N1库区造林、横沙新洲现代农业园区等上海重大工程建设，以典型废弃物为原料，建立农田土壤、绿林地土壤改良和废弃物利用典型示范点，通过长期定位监测和土壤改良应用技术集成，引领上海废弃物处置和土壤改良技术应用，向全国输出具有上海特色的土壤质量提升技术集成。</w:t>
      </w:r>
    </w:p>
    <w:sectPr>
      <w:headerReference r:id="rId3" w:type="default"/>
      <w:footerReference r:id="rId4" w:type="default"/>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Webdings">
    <w:panose1 w:val="05030102010509060703"/>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rFonts w:hint="eastAsia"/>
        <w:sz w:val="28"/>
        <w:szCs w:val="28"/>
      </w:rPr>
      <w:t>第</w:t>
    </w:r>
    <w:r>
      <w:rPr>
        <w:b/>
        <w:sz w:val="28"/>
        <w:szCs w:val="28"/>
      </w:rPr>
      <w:fldChar w:fldCharType="begin"/>
    </w:r>
    <w:r>
      <w:rPr>
        <w:b/>
        <w:sz w:val="28"/>
        <w:szCs w:val="28"/>
      </w:rPr>
      <w:instrText xml:space="preserve">PAGE</w:instrText>
    </w:r>
    <w:r>
      <w:rPr>
        <w:b/>
        <w:sz w:val="28"/>
        <w:szCs w:val="28"/>
      </w:rPr>
      <w:fldChar w:fldCharType="separate"/>
    </w:r>
    <w:r>
      <w:rPr>
        <w:b/>
        <w:sz w:val="28"/>
        <w:szCs w:val="28"/>
      </w:rPr>
      <w:t>1</w:t>
    </w:r>
    <w:r>
      <w:rPr>
        <w:b/>
        <w:sz w:val="28"/>
        <w:szCs w:val="28"/>
      </w:rPr>
      <w:fldChar w:fldCharType="end"/>
    </w:r>
    <w:r>
      <w:rPr>
        <w:rFonts w:hint="eastAsia"/>
        <w:b/>
        <w:sz w:val="28"/>
        <w:szCs w:val="28"/>
      </w:rPr>
      <w:t>页</w:t>
    </w:r>
    <w:r>
      <w:rPr>
        <w:sz w:val="28"/>
        <w:szCs w:val="28"/>
        <w:lang w:val="zh-CN"/>
      </w:rPr>
      <w:t xml:space="preserve"> / </w:t>
    </w:r>
    <w:r>
      <w:rPr>
        <w:rFonts w:hint="eastAsia"/>
        <w:sz w:val="28"/>
        <w:szCs w:val="28"/>
        <w:lang w:val="zh-CN"/>
      </w:rPr>
      <w:t>共</w:t>
    </w:r>
    <w:r>
      <w:rPr>
        <w:b/>
        <w:sz w:val="28"/>
        <w:szCs w:val="28"/>
      </w:rPr>
      <w:fldChar w:fldCharType="begin"/>
    </w:r>
    <w:r>
      <w:rPr>
        <w:b/>
        <w:sz w:val="28"/>
        <w:szCs w:val="28"/>
      </w:rPr>
      <w:instrText xml:space="preserve">NUMPAGES</w:instrText>
    </w:r>
    <w:r>
      <w:rPr>
        <w:b/>
        <w:sz w:val="28"/>
        <w:szCs w:val="28"/>
      </w:rPr>
      <w:fldChar w:fldCharType="separate"/>
    </w:r>
    <w:r>
      <w:rPr>
        <w:b/>
        <w:sz w:val="28"/>
        <w:szCs w:val="28"/>
      </w:rPr>
      <w:t>2</w:t>
    </w:r>
    <w:r>
      <w:rPr>
        <w:b/>
        <w:sz w:val="28"/>
        <w:szCs w:val="28"/>
      </w:rPr>
      <w:fldChar w:fldCharType="end"/>
    </w:r>
    <w:r>
      <w:rPr>
        <w:rFonts w:hint="eastAsia"/>
        <w:sz w:val="28"/>
        <w:szCs w:val="28"/>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spacing w:before="4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NiNmU3ODBhNjNmMzM1ZWY3YmI4MzliOTY3NGMxNzMifQ=="/>
  </w:docVars>
  <w:rsids>
    <w:rsidRoot w:val="009F74E7"/>
    <w:rsid w:val="009F74E7"/>
    <w:rsid w:val="00AF0263"/>
    <w:rsid w:val="00DA1B9B"/>
    <w:rsid w:val="629779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4"/>
    <w:autoRedefine/>
    <w:unhideWhenUsed/>
    <w:qFormat/>
    <w:uiPriority w:val="99"/>
    <w:pPr>
      <w:tabs>
        <w:tab w:val="center" w:pos="4153"/>
        <w:tab w:val="right" w:pos="8306"/>
      </w:tabs>
      <w:snapToGrid w:val="0"/>
    </w:pPr>
    <w:rPr>
      <w:rFonts w:cs="Times New Roman"/>
      <w:sz w:val="18"/>
      <w:szCs w:val="18"/>
    </w:rPr>
  </w:style>
  <w:style w:type="paragraph" w:styleId="3">
    <w:name w:val="header"/>
    <w:basedOn w:val="1"/>
    <w:link w:val="13"/>
    <w:autoRedefine/>
    <w:unhideWhenUsed/>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4">
    <w:name w:val="Normal (Web)"/>
    <w:basedOn w:val="1"/>
    <w:autoRedefine/>
    <w:unhideWhenUsed/>
    <w:qFormat/>
    <w:uiPriority w:val="99"/>
    <w:pPr>
      <w:spacing w:before="100" w:beforeAutospacing="1" w:after="100" w:afterAutospacing="1"/>
    </w:pPr>
  </w:style>
  <w:style w:type="table" w:styleId="6">
    <w:name w:val="Table Grid"/>
    <w:basedOn w:val="5"/>
    <w:autoRedefine/>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autoRedefine/>
    <w:qFormat/>
    <w:uiPriority w:val="22"/>
    <w:rPr>
      <w:b/>
      <w:bCs/>
    </w:rPr>
  </w:style>
  <w:style w:type="paragraph" w:customStyle="1" w:styleId="9">
    <w:name w:val="z-窗体顶端1"/>
    <w:basedOn w:val="1"/>
    <w:next w:val="1"/>
    <w:link w:val="10"/>
    <w:autoRedefine/>
    <w:semiHidden/>
    <w:unhideWhenUsed/>
    <w:qFormat/>
    <w:uiPriority w:val="99"/>
    <w:pPr>
      <w:pBdr>
        <w:bottom w:val="single" w:color="auto" w:sz="6" w:space="1"/>
      </w:pBdr>
      <w:jc w:val="center"/>
    </w:pPr>
    <w:rPr>
      <w:rFonts w:ascii="Arial" w:hAnsi="Arial" w:cs="Times New Roman"/>
      <w:vanish/>
      <w:sz w:val="16"/>
      <w:szCs w:val="16"/>
    </w:rPr>
  </w:style>
  <w:style w:type="character" w:customStyle="1" w:styleId="10">
    <w:name w:val="z-窗体顶端 字符"/>
    <w:link w:val="9"/>
    <w:autoRedefine/>
    <w:semiHidden/>
    <w:qFormat/>
    <w:uiPriority w:val="99"/>
    <w:rPr>
      <w:rFonts w:ascii="Arial" w:hAnsi="Arial" w:eastAsia="宋体" w:cs="Arial"/>
      <w:vanish/>
      <w:kern w:val="0"/>
      <w:sz w:val="16"/>
      <w:szCs w:val="16"/>
    </w:rPr>
  </w:style>
  <w:style w:type="paragraph" w:customStyle="1" w:styleId="11">
    <w:name w:val="z-窗体底端1"/>
    <w:basedOn w:val="1"/>
    <w:next w:val="1"/>
    <w:link w:val="12"/>
    <w:autoRedefine/>
    <w:semiHidden/>
    <w:unhideWhenUsed/>
    <w:qFormat/>
    <w:uiPriority w:val="99"/>
    <w:pPr>
      <w:pBdr>
        <w:top w:val="single" w:color="auto" w:sz="6" w:space="1"/>
      </w:pBdr>
      <w:jc w:val="center"/>
    </w:pPr>
    <w:rPr>
      <w:rFonts w:ascii="Arial" w:hAnsi="Arial" w:cs="Times New Roman"/>
      <w:vanish/>
      <w:sz w:val="16"/>
      <w:szCs w:val="16"/>
    </w:rPr>
  </w:style>
  <w:style w:type="character" w:customStyle="1" w:styleId="12">
    <w:name w:val="z-窗体底端 字符"/>
    <w:link w:val="11"/>
    <w:autoRedefine/>
    <w:semiHidden/>
    <w:qFormat/>
    <w:uiPriority w:val="99"/>
    <w:rPr>
      <w:rFonts w:ascii="Arial" w:hAnsi="Arial" w:eastAsia="宋体" w:cs="Arial"/>
      <w:vanish/>
      <w:kern w:val="0"/>
      <w:sz w:val="16"/>
      <w:szCs w:val="16"/>
    </w:rPr>
  </w:style>
  <w:style w:type="character" w:customStyle="1" w:styleId="13">
    <w:name w:val="页眉 字符"/>
    <w:link w:val="3"/>
    <w:autoRedefine/>
    <w:qFormat/>
    <w:uiPriority w:val="99"/>
    <w:rPr>
      <w:rFonts w:ascii="宋体" w:hAnsi="宋体" w:cs="宋体"/>
      <w:sz w:val="18"/>
      <w:szCs w:val="18"/>
    </w:rPr>
  </w:style>
  <w:style w:type="character" w:customStyle="1" w:styleId="14">
    <w:name w:val="页脚 字符"/>
    <w:link w:val="2"/>
    <w:autoRedefine/>
    <w:qFormat/>
    <w:uiPriority w:val="99"/>
    <w:rPr>
      <w:rFonts w:ascii="宋体" w:hAnsi="宋体" w:cs="宋体"/>
      <w:sz w:val="18"/>
      <w:szCs w:val="18"/>
    </w:rPr>
  </w:style>
  <w:style w:type="paragraph" w:customStyle="1" w:styleId="15">
    <w:name w:val="Normal_0"/>
    <w:autoRedefine/>
    <w:qFormat/>
    <w:uiPriority w:val="0"/>
    <w:pPr>
      <w:widowControl w:val="0"/>
      <w:jc w:val="both"/>
    </w:pPr>
    <w:rPr>
      <w:rFonts w:asciiTheme="minorHAnsi" w:hAnsiTheme="minorHAnsi" w:eastAsiaTheme="minorEastAsia" w:cstheme="minorBidi"/>
      <w:sz w:val="21"/>
      <w:szCs w:val="22"/>
      <w:lang w:val="en-US" w:eastAsia="zh-CN" w:bidi="ar-SA"/>
    </w:rPr>
  </w:style>
  <w:style w:type="paragraph" w:customStyle="1" w:styleId="16">
    <w:name w:val="Normal_1"/>
    <w:autoRedefine/>
    <w:qFormat/>
    <w:uiPriority w:val="0"/>
    <w:pPr>
      <w:widowControl w:val="0"/>
      <w:jc w:val="both"/>
    </w:pPr>
    <w:rPr>
      <w:rFonts w:ascii="Calibri"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329</Words>
  <Characters>1879</Characters>
  <Lines>15</Lines>
  <Paragraphs>4</Paragraphs>
  <TotalTime>132</TotalTime>
  <ScaleCrop>false</ScaleCrop>
  <LinksUpToDate>false</LinksUpToDate>
  <CharactersWithSpaces>2204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2021-04-01T05:38:00Z</dcterms:created>
  <dc:creator>2</dc:creator>
  <cp:lastModifiedBy>严茂森</cp:lastModifiedBy>
  <cp:lastPrinted>2023-12-26T01:02:00Z</cp:lastPrinted>
  <dcterms:modified xsi:type="dcterms:W3CDTF">2024-04-07T08:03:55Z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E3D15859C45D435E8C9E9BBA1930C628</vt:lpwstr>
  </property>
  <property fmtid="{D5CDD505-2E9C-101B-9397-08002B2CF9AE}" pid="3" name="KSOProductBuildVer">
    <vt:lpwstr>2052-12.1.0.16417</vt:lpwstr>
  </property>
</Properties>
</file>